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Background check policy</w:t>
      </w:r>
    </w:p>
    <w:p>
      <w:pPr>
        <w:spacing w:after="240"/>
      </w:pPr>
      <w:r>
        <w:rPr>
          <w:i/>
        </w:rPr>
        <w:t xml:space="preserve">The governing document. It states what the organization screens, when, who decides, and what happens to the records afterwards.</w:t>
      </w:r>
    </w:p>
    <w:p>
      <w:pPr>
        <w:pStyle w:val="Heading1"/>
      </w:pPr>
      <w:r>
        <w:t xml:space="preserve">1. Purpose and scope</w:t>
      </w:r>
    </w:p>
    <w:p>
      <w:pPr>
        <w:spacing w:after="120"/>
      </w:pPr>
      <w:r>
        <w:t xml:space="preserve">This policy governs how [Company] obtains and uses background information about applicants, employees and contingent workers. It applies to every hiring manager, every recruiter and every third party who screens on our behalf, in every location where we hire.</w:t>
      </w:r>
    </w:p>
    <w:p>
      <w:pPr>
        <w:spacing w:after="120"/>
      </w:pPr>
      <w:r>
        <w:t xml:space="preserve">It is written to satisfy the Fair Credit Reporting Act and the state and local law that applies to each position. Where a location imposes a requirement this policy does not describe, the location requirement governs and this policy is amended rather than waived.</w:t>
      </w:r>
    </w:p>
    <w:p>
      <w:pPr>
        <w:pStyle w:val="Heading1"/>
      </w:pPr>
      <w:r>
        <w:t xml:space="preserve">2. Roles and responsibilities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680"/>
        <w:gridCol w:w="4680"/>
      </w:tblGrid>
      <w:tr>
        <w:tc>
          <w:tcPr>
            <w:tcW w:w="4680" w:type="dxa"/>
            <w:shd w:val="clear" w:color="auto" w:fill="F2F2F2"/>
          </w:tcPr>
          <w:p>
            <w:r>
              <w:rPr>
                <w:b/>
                <w:sz w:val="20"/>
              </w:rPr>
              <w:t xml:space="preserve">Role</w:t>
            </w:r>
          </w:p>
        </w:tc>
        <w:tc>
          <w:tcPr>
            <w:tcW w:w="4680" w:type="dxa"/>
            <w:shd w:val="clear" w:color="auto" w:fill="F2F2F2"/>
          </w:tcPr>
          <w:p>
            <w:r>
              <w:rPr>
                <w:b/>
                <w:sz w:val="20"/>
              </w:rPr>
              <w:t xml:space="preserve">Owns</w:t>
            </w:r>
          </w:p>
        </w:tc>
      </w:tr>
      <w:tr>
        <w:tc>
          <w:tcPr>
            <w:tcW w:w="4680" w:type="dxa"/>
          </w:tcPr>
          <w:p>
            <w:r>
              <w:rPr>
                <w:sz w:val="20"/>
              </w:rPr>
              <w:t xml:space="preserve">Hiring manager</w:t>
            </w:r>
          </w:p>
        </w:tc>
        <w:tc>
          <w:tcPr>
            <w:tcW w:w="4680" w:type="dxa"/>
          </w:tcPr>
          <w:p>
            <w:r>
              <w:rPr>
                <w:sz w:val="20"/>
              </w:rPr>
              <w:t xml:space="preserve">Requests the check through the approved channel. Does not receive results before the disclosure process is complete.</w:t>
            </w:r>
          </w:p>
        </w:tc>
      </w:tr>
      <w:tr>
        <w:tc>
          <w:tcPr>
            <w:tcW w:w="4680" w:type="dxa"/>
          </w:tcPr>
          <w:p>
            <w:r>
              <w:rPr>
                <w:sz w:val="20"/>
              </w:rPr>
              <w:t xml:space="preserve">Recruiter or HR operations</w:t>
            </w:r>
          </w:p>
        </w:tc>
        <w:tc>
          <w:tcPr>
            <w:tcW w:w="4680" w:type="dxa"/>
          </w:tcPr>
          <w:p>
            <w:r>
              <w:rPr>
                <w:sz w:val="20"/>
              </w:rPr>
              <w:t xml:space="preserve">Issues the disclosure and authorization, orders the check, and runs the notice sequence.</w:t>
            </w:r>
          </w:p>
        </w:tc>
      </w:tr>
      <w:tr>
        <w:tc>
          <w:tcPr>
            <w:tcW w:w="4680" w:type="dxa"/>
          </w:tcPr>
          <w:p>
            <w:r>
              <w:rPr>
                <w:sz w:val="20"/>
              </w:rPr>
              <w:t xml:space="preserve">Adjudication reviewer</w:t>
            </w:r>
          </w:p>
        </w:tc>
        <w:tc>
          <w:tcPr>
            <w:tcW w:w="4680" w:type="dxa"/>
          </w:tcPr>
          <w:p>
            <w:r>
              <w:rPr>
                <w:sz w:val="20"/>
              </w:rPr>
              <w:t xml:space="preserve">Completes the individualized assessment and records the reasoning.</w:t>
            </w:r>
          </w:p>
        </w:tc>
      </w:tr>
      <w:tr>
        <w:tc>
          <w:tcPr>
            <w:tcW w:w="4680" w:type="dxa"/>
          </w:tcPr>
          <w:p>
            <w:r>
              <w:rPr>
                <w:sz w:val="20"/>
              </w:rPr>
              <w:t xml:space="preserve">Program owner</w:t>
            </w:r>
          </w:p>
        </w:tc>
        <w:tc>
          <w:tcPr>
            <w:tcW w:w="4680" w:type="dxa"/>
          </w:tcPr>
          <w:p>
            <w:r>
              <w:rPr>
                <w:sz w:val="20"/>
              </w:rPr>
              <w:t xml:space="preserve">Owns this policy, the adjudication matrix and the retention schedule. Reviews them on the cadence in section 11.</w:t>
            </w:r>
          </w:p>
        </w:tc>
      </w:tr>
      <w:tr>
        <w:tc>
          <w:tcPr>
            <w:tcW w:w="4680" w:type="dxa"/>
          </w:tcPr>
          <w:p>
            <w:r>
              <w:rPr>
                <w:sz w:val="20"/>
              </w:rPr>
              <w:t xml:space="preserve">Screening provider</w:t>
            </w:r>
          </w:p>
        </w:tc>
        <w:tc>
          <w:tcPr>
            <w:tcW w:w="4680" w:type="dxa"/>
          </w:tcPr>
          <w:p>
            <w:r>
              <w:rPr>
                <w:sz w:val="20"/>
              </w:rPr>
              <w:t xml:space="preserve">Furnishes the report, its sources and its verification dates. Does not decide the outcome.</w:t>
            </w:r>
          </w:p>
        </w:tc>
      </w:tr>
    </w:tbl>
    <w:p>
      <w:r>
        <w:rPr>
          <w:sz w:val="2"/>
        </w:rPr>
        <w:t xml:space="preserve"/>
      </w:r>
    </w:p>
    <w:p>
      <w:pPr>
        <w:pBdr>
          <w:left w:val="single" w:sz="18" w:space="8" w:color="0F766E"/>
        </w:pBdr>
        <w:shd w:val="clear" w:color="auto" w:fill="F7F7F5"/>
        <w:spacing w:before="120" w:after="180"/>
        <w:ind w:left="240"/>
      </w:pPr>
      <w:r>
        <w:rPr>
          <w:i/>
        </w:rPr>
        <w:t xml:space="preserve">No one who has an interest in filling the position quickly decides the outcome. Where the organization is small enough that the same person does both, the assessment must be written down before the position is closed, and the reason for the split should be recorded.</w:t>
      </w:r>
    </w:p>
    <w:p>
      <w:pPr>
        <w:pStyle w:val="Heading1"/>
      </w:pPr>
      <w:r>
        <w:t xml:space="preserve">3. Positions screened, and at what point</w:t>
      </w:r>
    </w:p>
    <w:p>
      <w:pPr>
        <w:spacing w:after="120"/>
      </w:pPr>
      <w:r>
        <w:t xml:space="preserve">The background check is ordered only after a conditional offer has been made and accepted, unless a location requires a later point. The criminal history question does not appear on the application form.</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120"/>
        <w:gridCol w:w="3120"/>
        <w:gridCol w:w="3120"/>
      </w:tblGrid>
      <w:tr>
        <w:tc>
          <w:tcPr>
            <w:tcW w:w="3120" w:type="dxa"/>
            <w:shd w:val="clear" w:color="auto" w:fill="F2F2F2"/>
          </w:tcPr>
          <w:p>
            <w:r>
              <w:rPr>
                <w:b/>
                <w:sz w:val="20"/>
              </w:rPr>
              <w:t xml:space="preserve">Position group</w:t>
            </w:r>
          </w:p>
        </w:tc>
        <w:tc>
          <w:tcPr>
            <w:tcW w:w="3120" w:type="dxa"/>
            <w:shd w:val="clear" w:color="auto" w:fill="F2F2F2"/>
          </w:tcPr>
          <w:p>
            <w:r>
              <w:rPr>
                <w:b/>
                <w:sz w:val="20"/>
              </w:rPr>
              <w:t xml:space="preserve">Checks run</w:t>
            </w:r>
          </w:p>
        </w:tc>
        <w:tc>
          <w:tcPr>
            <w:tcW w:w="3120" w:type="dxa"/>
            <w:shd w:val="clear" w:color="auto" w:fill="F2F2F2"/>
          </w:tcPr>
          <w:p>
            <w:r>
              <w:rPr>
                <w:b/>
                <w:sz w:val="20"/>
              </w:rPr>
              <w:t xml:space="preserve">Ordered</w:t>
            </w:r>
          </w:p>
        </w:tc>
      </w:tr>
      <w:tr>
        <w:tc>
          <w:tcPr>
            <w:tcW w:w="3120" w:type="dxa"/>
          </w:tcPr>
          <w:p>
            <w:r>
              <w:rPr>
                <w:sz w:val="20"/>
              </w:rPr>
              <w:t xml:space="preserve">All positions</w:t>
            </w:r>
          </w:p>
        </w:tc>
        <w:tc>
          <w:tcPr>
            <w:tcW w:w="3120" w:type="dxa"/>
          </w:tcPr>
          <w:p>
            <w:r>
              <w:rPr>
                <w:sz w:val="20"/>
              </w:rPr>
              <w:t xml:space="preserve">Identity, employment history, criminal record search</w:t>
            </w:r>
          </w:p>
        </w:tc>
        <w:tc>
          <w:tcPr>
            <w:tcW w:w="3120" w:type="dxa"/>
          </w:tcPr>
          <w:p>
            <w:r>
              <w:rPr>
                <w:sz w:val="20"/>
              </w:rPr>
              <w:t xml:space="preserve">After conditional offer</w:t>
            </w:r>
          </w:p>
        </w:tc>
      </w:tr>
      <w:tr>
        <w:tc>
          <w:tcPr>
            <w:tcW w:w="3120" w:type="dxa"/>
          </w:tcPr>
          <w:p>
            <w:r>
              <w:rPr>
                <w:sz w:val="20"/>
              </w:rPr>
              <w:t xml:space="preserve">Roles with financial authority</w:t>
            </w:r>
          </w:p>
        </w:tc>
        <w:tc>
          <w:tcPr>
            <w:tcW w:w="3120" w:type="dxa"/>
          </w:tcPr>
          <w:p>
            <w:r>
              <w:rPr>
                <w:sz w:val="20"/>
              </w:rPr>
              <w:t xml:space="preserve">Adds credit report where the role meets the statutory exception</w:t>
            </w:r>
          </w:p>
        </w:tc>
        <w:tc>
          <w:tcPr>
            <w:tcW w:w="3120" w:type="dxa"/>
          </w:tcPr>
          <w:p>
            <w:r>
              <w:rPr>
                <w:sz w:val="20"/>
              </w:rPr>
              <w:t xml:space="preserve">After conditional offer</w:t>
            </w:r>
          </w:p>
        </w:tc>
      </w:tr>
      <w:tr>
        <w:tc>
          <w:tcPr>
            <w:tcW w:w="3120" w:type="dxa"/>
          </w:tcPr>
          <w:p>
            <w:r>
              <w:rPr>
                <w:sz w:val="20"/>
              </w:rPr>
              <w:t xml:space="preserve">Roles with driving duties</w:t>
            </w:r>
          </w:p>
        </w:tc>
        <w:tc>
          <w:tcPr>
            <w:tcW w:w="3120" w:type="dxa"/>
          </w:tcPr>
          <w:p>
            <w:r>
              <w:rPr>
                <w:sz w:val="20"/>
              </w:rPr>
              <w:t xml:space="preserve">Adds motor vehicle record</w:t>
            </w:r>
          </w:p>
        </w:tc>
        <w:tc>
          <w:tcPr>
            <w:tcW w:w="3120" w:type="dxa"/>
          </w:tcPr>
          <w:p>
            <w:r>
              <w:rPr>
                <w:sz w:val="20"/>
              </w:rPr>
              <w:t xml:space="preserve">After conditional offer</w:t>
            </w:r>
          </w:p>
        </w:tc>
      </w:tr>
      <w:tr>
        <w:tc>
          <w:tcPr>
            <w:tcW w:w="3120" w:type="dxa"/>
          </w:tcPr>
          <w:p>
            <w:r>
              <w:rPr>
                <w:sz w:val="20"/>
              </w:rPr>
              <w:t xml:space="preserve">Roles working with vulnerable people</w:t>
            </w:r>
          </w:p>
        </w:tc>
        <w:tc>
          <w:tcPr>
            <w:tcW w:w="3120" w:type="dxa"/>
          </w:tcPr>
          <w:p>
            <w:r>
              <w:rPr>
                <w:sz w:val="20"/>
              </w:rPr>
              <w:t xml:space="preserve">Adds state and federal sex offender registries</w:t>
            </w:r>
          </w:p>
        </w:tc>
        <w:tc>
          <w:tcPr>
            <w:tcW w:w="3120" w:type="dxa"/>
          </w:tcPr>
          <w:p>
            <w:r>
              <w:rPr>
                <w:sz w:val="20"/>
              </w:rPr>
              <w:t xml:space="preserve">After conditional offer</w:t>
            </w:r>
          </w:p>
        </w:tc>
      </w:tr>
      <w:tr>
        <w:tc>
          <w:tcPr>
            <w:tcW w:w="3120" w:type="dxa"/>
          </w:tcPr>
          <w:p>
            <w:r>
              <w:rPr>
                <w:sz w:val="20"/>
              </w:rPr>
              <w:t xml:space="preserve">Contingent workers</w:t>
            </w:r>
          </w:p>
        </w:tc>
        <w:tc>
          <w:tcPr>
            <w:tcW w:w="3120" w:type="dxa"/>
          </w:tcPr>
          <w:p>
            <w:r>
              <w:rPr>
                <w:sz w:val="20"/>
              </w:rPr>
              <w:t xml:space="preserve">As agreed with the agency in writing</w:t>
            </w:r>
          </w:p>
        </w:tc>
        <w:tc>
          <w:tcPr>
            <w:tcW w:w="3120" w:type="dxa"/>
          </w:tcPr>
          <w:p>
            <w:r>
              <w:rPr>
                <w:sz w:val="20"/>
              </w:rPr>
              <w:t xml:space="preserve">Before assignment</w:t>
            </w:r>
          </w:p>
        </w:tc>
      </w:tr>
    </w:tbl>
    <w:p>
      <w:r>
        <w:rPr>
          <w:sz w:val="2"/>
        </w:rPr>
        <w:t xml:space="preserve"/>
      </w:r>
    </w:p>
    <w:p>
      <w:pPr>
        <w:pBdr>
          <w:left w:val="single" w:sz="18" w:space="8" w:color="0F766E"/>
        </w:pBdr>
        <w:shd w:val="clear" w:color="auto" w:fill="F7F7F5"/>
        <w:spacing w:before="120" w:after="180"/>
        <w:ind w:left="240"/>
      </w:pPr>
      <w:r>
        <w:rPr>
          <w:i/>
        </w:rPr>
        <w:t xml:space="preserve">A credit report may be obtained for employment purposes only where the position meets one of the exceptions in the statute. Convenience is not one of them. Record which exception applies to each position group before the first check is ordered.</w:t>
      </w:r>
    </w:p>
    <w:p>
      <w:pPr>
        <w:pStyle w:val="Heading1"/>
      </w:pPr>
      <w:r>
        <w:t xml:space="preserve">4. Disclosure and authorization</w:t>
      </w:r>
    </w:p>
    <w:p>
      <w:pPr>
        <w:spacing w:after="60"/>
        <w:ind w:left="360" w:hanging="360"/>
      </w:pPr>
      <w:r>
        <w:t xml:space="preserve">•	The applicant receives a standalone disclosure in a document that contains nothing else. No liability release, no application language, no state-law notice that is not a disclosure.</w:t>
      </w:r>
    </w:p>
    <w:p>
      <w:pPr>
        <w:spacing w:after="60"/>
        <w:ind w:left="360" w:hanging="360"/>
      </w:pPr>
      <w:r>
        <w:t xml:space="preserve">•	The disclosure is clear and conspicuous, and a copy of it is given to the applicant to keep.</w:t>
      </w:r>
    </w:p>
    <w:p>
      <w:pPr>
        <w:spacing w:after="60"/>
        <w:ind w:left="360" w:hanging="360"/>
      </w:pPr>
      <w:r>
        <w:t xml:space="preserve">•	The authorization is a separate signature, on the same page if we choose, but distinguishable from the disclosure.</w:t>
      </w:r>
    </w:p>
    <w:p>
      <w:pPr>
        <w:spacing w:after="60"/>
        <w:ind w:left="360" w:hanging="360"/>
      </w:pPr>
      <w:r>
        <w:t xml:space="preserve">•	The applicant may request a copy of any report we obtain, and we provide it without charge.</w:t>
      </w:r>
    </w:p>
    <w:p>
      <w:pPr>
        <w:spacing w:after="60"/>
        <w:ind w:left="360" w:hanging="360"/>
      </w:pPr>
      <w:r>
        <w:t xml:space="preserve">•	Documents are delivered in the language the applicant reads, where required by location.</w:t>
      </w:r>
    </w:p>
    <w:p>
      <w:pPr>
        <w:pStyle w:val="Heading1"/>
      </w:pPr>
      <w:r>
        <w:t xml:space="preserve">5. Ordering and provider management</w:t>
      </w:r>
    </w:p>
    <w:p>
      <w:pPr>
        <w:spacing w:after="60"/>
        <w:ind w:left="360" w:hanging="360"/>
      </w:pPr>
      <w:r>
        <w:t xml:space="preserve">•	Checks are ordered only through the approved provider, so that every report arrives with its sources and verification dates attached.</w:t>
      </w:r>
    </w:p>
    <w:p>
      <w:pPr>
        <w:spacing w:after="60"/>
        <w:ind w:left="360" w:hanging="360"/>
      </w:pPr>
      <w:r>
        <w:t xml:space="preserve">•	Every order carries the certification the provider requires under the statute, signed by an authorized representative.</w:t>
      </w:r>
    </w:p>
    <w:p>
      <w:pPr>
        <w:spacing w:after="60"/>
        <w:ind w:left="360" w:hanging="360"/>
      </w:pPr>
      <w:r>
        <w:t xml:space="preserve">•	Provider accuracy, dispute handling and turnaround are reviewed at the cadence in section 11, and the review is recorded.</w:t>
      </w:r>
    </w:p>
    <w:p>
      <w:pPr>
        <w:spacing w:after="60"/>
        <w:ind w:left="360" w:hanging="360"/>
      </w:pPr>
      <w:r>
        <w:t xml:space="preserve">•	A report missing a source or a verification date is returned rather than adjudicated.</w:t>
      </w:r>
    </w:p>
    <w:p>
      <w:pPr>
        <w:pStyle w:val="Heading1"/>
      </w:pPr>
      <w:r>
        <w:t xml:space="preserve">6. Review and adjudication</w:t>
      </w:r>
    </w:p>
    <w:p>
      <w:pPr>
        <w:spacing w:after="120"/>
      </w:pPr>
      <w:r>
        <w:t xml:space="preserve">Reports are reviewed against the adjudication matrix, which triages records into clearly relevant, clearly irrelevant, and requiring individual assessment. A record that coincides with a matrix exclusion is not thereby a decision: the matrix narrows what needs reasoning, it does not replace it.</w:t>
      </w:r>
    </w:p>
    <w:p>
      <w:pPr>
        <w:spacing w:after="120"/>
      </w:pPr>
      <w:r>
        <w:t xml:space="preserve">Where the record is relevant to the duties of the position, the reviewer completes the individualized assessment worksheet. The assessment is written before the decision is communicated, in every case, whether or not the location requires it in writing.</w:t>
      </w:r>
    </w:p>
    <w:p>
      <w:pPr>
        <w:pStyle w:val="Heading1"/>
      </w:pPr>
      <w:r>
        <w:t xml:space="preserve">7. Notice sequence before a decision becomes final</w:t>
      </w:r>
    </w:p>
    <w:p>
      <w:pPr>
        <w:spacing w:after="60"/>
        <w:ind w:left="360" w:hanging="360"/>
      </w:pPr>
      <w:r>
        <w:t xml:space="preserve">1.	The applicant receives a pre-adverse action notice, a copy of the report, and a written description of their rights.</w:t>
      </w:r>
    </w:p>
    <w:p>
      <w:pPr>
        <w:spacing w:after="60"/>
        <w:ind w:left="360" w:hanging="360"/>
      </w:pPr>
      <w:r>
        <w:t xml:space="preserve">2.	The position stays open. The applicant is given the longer of our standard wait or any wait the applicable location requires, counted from receipt.</w:t>
      </w:r>
    </w:p>
    <w:p>
      <w:pPr>
        <w:spacing w:after="60"/>
        <w:ind w:left="360" w:hanging="360"/>
      </w:pPr>
      <w:r>
        <w:t xml:space="preserve">3.	Where the applicable location requires a fair chance notice and a written assessment, those go with the same communication, and the applicant is told what the assessment concluded and what they may respond to.</w:t>
      </w:r>
    </w:p>
    <w:p>
      <w:pPr>
        <w:spacing w:after="60"/>
        <w:ind w:left="360" w:hanging="360"/>
      </w:pPr>
      <w:r>
        <w:t xml:space="preserve">4.	If the applicant disputes the accuracy of the report, the count restarts when we send the corrected information, and the applicant is given the additional time the location allows.</w:t>
      </w:r>
    </w:p>
    <w:p>
      <w:pPr>
        <w:spacing w:after="60"/>
        <w:ind w:left="360" w:hanging="360"/>
      </w:pPr>
      <w:r>
        <w:t xml:space="preserve">5.	If the applicant provides information about the circumstances, the reviewer records what it was and what difference it made before deciding.</w:t>
      </w:r>
    </w:p>
    <w:p>
      <w:pPr>
        <w:pStyle w:val="Heading1"/>
      </w:pPr>
      <w:r>
        <w:t xml:space="preserve">8. The final notice</w:t>
      </w:r>
    </w:p>
    <w:p>
      <w:pPr>
        <w:spacing w:after="120"/>
      </w:pPr>
      <w:r>
        <w:t xml:space="preserve">If we decide against the applicant, we send a final notice that names the screening provider, gives its address and telephone number, states that the provider did not make the decision and cannot explain it, and states the applicant's right to dispute and to a free copy of the report.</w:t>
      </w:r>
    </w:p>
    <w:p>
      <w:pPr>
        <w:pBdr>
          <w:left w:val="single" w:sz="18" w:space="8" w:color="0F766E"/>
        </w:pBdr>
        <w:shd w:val="clear" w:color="auto" w:fill="F7F7F5"/>
        <w:spacing w:before="120" w:after="180"/>
        <w:ind w:left="240"/>
      </w:pPr>
      <w:r>
        <w:rPr>
          <w:i/>
        </w:rPr>
        <w:t xml:space="preserve">The final notice is owed even where a location has already required a written assessment, and even where the applicant did not respond. It is a separate duty from the pre-decision notice and is not discharged by it.</w:t>
      </w:r>
    </w:p>
    <w:p>
      <w:pPr>
        <w:pStyle w:val="Heading1"/>
      </w:pPr>
      <w:r>
        <w:t xml:space="preserve">9. Retention and destruction</w:t>
      </w:r>
    </w:p>
    <w:p>
      <w:pPr>
        <w:spacing w:after="120"/>
      </w:pPr>
      <w:r>
        <w:t xml:space="preserve">Records are retained and destroyed according to the retention schedule, which is published alongside this policy. Records subject to a legal hold are excluded from destruction until the hold is lifted in writing.</w:t>
      </w:r>
    </w:p>
    <w:p>
      <w:pPr>
        <w:pStyle w:val="Heading1"/>
      </w:pPr>
      <w:r>
        <w:t xml:space="preserve">10. Accuracy and disputes</w:t>
      </w:r>
    </w:p>
    <w:p>
      <w:pPr>
        <w:spacing w:after="60"/>
        <w:ind w:left="360" w:hanging="360"/>
      </w:pPr>
      <w:r>
        <w:t xml:space="preserve">•	An applicant may dispute the accuracy or completeness of any information in a report, directly with the provider.</w:t>
      </w:r>
    </w:p>
    <w:p>
      <w:pPr>
        <w:spacing w:after="60"/>
        <w:ind w:left="360" w:hanging="360"/>
      </w:pPr>
      <w:r>
        <w:t xml:space="preserve">•	Where a dispute is received by us rather than the provider, it is forwarded within one business day and the applicant is told it has been forwarded.</w:t>
      </w:r>
    </w:p>
    <w:p>
      <w:pPr>
        <w:spacing w:after="60"/>
        <w:ind w:left="360" w:hanging="360"/>
      </w:pPr>
      <w:r>
        <w:t xml:space="preserve">•	No decision is made final while a dispute is open, except where the location permits it and the grounds are recorded.</w:t>
      </w:r>
    </w:p>
    <w:p>
      <w:pPr>
        <w:pStyle w:val="Heading1"/>
      </w:pPr>
      <w:r>
        <w:t xml:space="preserve">11. Program review</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120"/>
        <w:gridCol w:w="3120"/>
        <w:gridCol w:w="3120"/>
      </w:tblGrid>
      <w:tr>
        <w:tc>
          <w:tcPr>
            <w:tcW w:w="3120" w:type="dxa"/>
            <w:shd w:val="clear" w:color="auto" w:fill="F2F2F2"/>
          </w:tcPr>
          <w:p>
            <w:r>
              <w:rPr>
                <w:b/>
                <w:sz w:val="20"/>
              </w:rPr>
              <w:t xml:space="preserve">What</w:t>
            </w:r>
          </w:p>
        </w:tc>
        <w:tc>
          <w:tcPr>
            <w:tcW w:w="3120" w:type="dxa"/>
            <w:shd w:val="clear" w:color="auto" w:fill="F2F2F2"/>
          </w:tcPr>
          <w:p>
            <w:r>
              <w:rPr>
                <w:b/>
                <w:sz w:val="20"/>
              </w:rPr>
              <w:t xml:space="preserve">How often</w:t>
            </w:r>
          </w:p>
        </w:tc>
        <w:tc>
          <w:tcPr>
            <w:tcW w:w="3120" w:type="dxa"/>
            <w:shd w:val="clear" w:color="auto" w:fill="F2F2F2"/>
          </w:tcPr>
          <w:p>
            <w:r>
              <w:rPr>
                <w:b/>
                <w:sz w:val="20"/>
              </w:rPr>
              <w:t xml:space="preserve">Who</w:t>
            </w:r>
          </w:p>
        </w:tc>
      </w:tr>
      <w:tr>
        <w:tc>
          <w:tcPr>
            <w:tcW w:w="3120" w:type="dxa"/>
          </w:tcPr>
          <w:p>
            <w:r>
              <w:rPr>
                <w:sz w:val="20"/>
              </w:rPr>
              <w:t xml:space="preserve">This policy and the adjudication matrix</w:t>
            </w:r>
          </w:p>
        </w:tc>
        <w:tc>
          <w:tcPr>
            <w:tcW w:w="3120" w:type="dxa"/>
          </w:tcPr>
          <w:p>
            <w:r>
              <w:rPr>
                <w:sz w:val="20"/>
              </w:rPr>
              <w:t xml:space="preserve">Annually, and on any change in the states we hire in</w:t>
            </w:r>
          </w:p>
        </w:tc>
        <w:tc>
          <w:tcPr>
            <w:tcW w:w="3120" w:type="dxa"/>
          </w:tcPr>
          <w:p>
            <w:r>
              <w:rPr>
                <w:sz w:val="20"/>
              </w:rPr>
              <w:t xml:space="preserve">Program owner</w:t>
            </w:r>
          </w:p>
        </w:tc>
      </w:tr>
      <w:tr>
        <w:tc>
          <w:tcPr>
            <w:tcW w:w="3120" w:type="dxa"/>
          </w:tcPr>
          <w:p>
            <w:r>
              <w:rPr>
                <w:sz w:val="20"/>
              </w:rPr>
              <w:t xml:space="preserve">The screening provider</w:t>
            </w:r>
          </w:p>
        </w:tc>
        <w:tc>
          <w:tcPr>
            <w:tcW w:w="3120" w:type="dxa"/>
          </w:tcPr>
          <w:p>
            <w:r>
              <w:rPr>
                <w:sz w:val="20"/>
              </w:rPr>
              <w:t xml:space="preserve">Annually, against the criteria in section 5</w:t>
            </w:r>
          </w:p>
        </w:tc>
        <w:tc>
          <w:tcPr>
            <w:tcW w:w="3120" w:type="dxa"/>
          </w:tcPr>
          <w:p>
            <w:r>
              <w:rPr>
                <w:sz w:val="20"/>
              </w:rPr>
              <w:t xml:space="preserve">Program owner</w:t>
            </w:r>
          </w:p>
        </w:tc>
      </w:tr>
      <w:tr>
        <w:tc>
          <w:tcPr>
            <w:tcW w:w="3120" w:type="dxa"/>
          </w:tcPr>
          <w:p>
            <w:r>
              <w:rPr>
                <w:sz w:val="20"/>
              </w:rPr>
              <w:t xml:space="preserve">The notice templates</w:t>
            </w:r>
          </w:p>
        </w:tc>
        <w:tc>
          <w:tcPr>
            <w:tcW w:w="3120" w:type="dxa"/>
          </w:tcPr>
          <w:p>
            <w:r>
              <w:rPr>
                <w:sz w:val="20"/>
              </w:rPr>
              <w:t xml:space="preserve">Annually, and on any change to a location requirement</w:t>
            </w:r>
          </w:p>
        </w:tc>
        <w:tc>
          <w:tcPr>
            <w:tcW w:w="3120" w:type="dxa"/>
          </w:tcPr>
          <w:p>
            <w:r>
              <w:rPr>
                <w:sz w:val="20"/>
              </w:rPr>
              <w:t xml:space="preserve">Program owner with counsel</w:t>
            </w:r>
          </w:p>
        </w:tc>
      </w:tr>
      <w:tr>
        <w:tc>
          <w:tcPr>
            <w:tcW w:w="3120" w:type="dxa"/>
          </w:tcPr>
          <w:p>
            <w:r>
              <w:rPr>
                <w:sz w:val="20"/>
              </w:rPr>
              <w:t xml:space="preserve">A sample of completed assessments</w:t>
            </w:r>
          </w:p>
        </w:tc>
        <w:tc>
          <w:tcPr>
            <w:tcW w:w="3120" w:type="dxa"/>
          </w:tcPr>
          <w:p>
            <w:r>
              <w:rPr>
                <w:sz w:val="20"/>
              </w:rPr>
              <w:t xml:space="preserve">Quarterly, for consistency and for reasoning quality</w:t>
            </w:r>
          </w:p>
        </w:tc>
        <w:tc>
          <w:tcPr>
            <w:tcW w:w="3120" w:type="dxa"/>
          </w:tcPr>
          <w:p>
            <w:r>
              <w:rPr>
                <w:sz w:val="20"/>
              </w:rPr>
              <w:t xml:space="preserve">Program owner</w:t>
            </w:r>
          </w:p>
        </w:tc>
      </w:tr>
    </w:tbl>
    <w:p>
      <w:r>
        <w:rPr>
          <w:sz w:val="2"/>
        </w:rPr>
        <w:t xml:space="preserve"/>
      </w:r>
    </w:p>
    <w:p>
      <w:pPr>
        <w:pStyle w:val="Heading1"/>
      </w:pPr>
      <w:r>
        <w:t xml:space="preserve">12. Version control</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680"/>
        <w:gridCol w:w="4680"/>
      </w:tblGrid>
      <w:tr>
        <w:tc>
          <w:tcPr>
            <w:tcW w:w="4680" w:type="dxa"/>
            <w:shd w:val="clear" w:color="auto" w:fill="F2F2F2"/>
          </w:tcPr>
          <w:p>
            <w:r>
              <w:rPr>
                <w:b/>
                <w:sz w:val="20"/>
              </w:rPr>
              <w:t xml:space="preserve">Field</w:t>
            </w:r>
          </w:p>
        </w:tc>
        <w:tc>
          <w:tcPr>
            <w:tcW w:w="4680" w:type="dxa"/>
            <w:shd w:val="clear" w:color="auto" w:fill="F2F2F2"/>
          </w:tcPr>
          <w:p>
            <w:r>
              <w:rPr>
                <w:b/>
                <w:sz w:val="20"/>
              </w:rPr>
              <w:t xml:space="preserve">Entry</w:t>
            </w:r>
          </w:p>
        </w:tc>
      </w:tr>
      <w:tr>
        <w:tc>
          <w:tcPr>
            <w:tcW w:w="4680" w:type="dxa"/>
          </w:tcPr>
          <w:p>
            <w:r>
              <w:rPr>
                <w:sz w:val="20"/>
              </w:rPr>
              <w:t xml:space="preserve">Owner</w:t>
            </w:r>
          </w:p>
        </w:tc>
        <w:tc>
          <w:tcPr>
            <w:tcW w:w="4680" w:type="dxa"/>
          </w:tcPr>
          <w:p>
            <w:r>
              <w:rPr>
                <w:sz w:val="20"/>
              </w:rPr>
              <w:t xml:space="preserve">[Role, not name, so the policy survives turnover]</w:t>
            </w:r>
          </w:p>
        </w:tc>
      </w:tr>
      <w:tr>
        <w:tc>
          <w:tcPr>
            <w:tcW w:w="4680" w:type="dxa"/>
          </w:tcPr>
          <w:p>
            <w:r>
              <w:rPr>
                <w:sz w:val="20"/>
              </w:rPr>
              <w:t xml:space="preserve">Approved by</w:t>
            </w:r>
          </w:p>
        </w:tc>
        <w:tc>
          <w:tcPr>
            <w:tcW w:w="4680" w:type="dxa"/>
          </w:tcPr>
          <w:p>
            <w:r>
              <w:rPr>
                <w:sz w:val="20"/>
              </w:rPr>
              <w:t xml:space="preserve">[Name and role]</w:t>
            </w:r>
          </w:p>
        </w:tc>
      </w:tr>
      <w:tr>
        <w:tc>
          <w:tcPr>
            <w:tcW w:w="4680" w:type="dxa"/>
          </w:tcPr>
          <w:p>
            <w:r>
              <w:rPr>
                <w:sz w:val="20"/>
              </w:rPr>
              <w:t xml:space="preserve">Effective date</w:t>
            </w:r>
          </w:p>
        </w:tc>
        <w:tc>
          <w:tcPr>
            <w:tcW w:w="4680" w:type="dxa"/>
          </w:tcPr>
          <w:p>
            <w:r>
              <w:rPr>
                <w:sz w:val="20"/>
              </w:rPr>
              <w:t xml:space="preserve">[Date]</w:t>
            </w:r>
          </w:p>
        </w:tc>
      </w:tr>
      <w:tr>
        <w:tc>
          <w:tcPr>
            <w:tcW w:w="4680" w:type="dxa"/>
          </w:tcPr>
          <w:p>
            <w:r>
              <w:rPr>
                <w:sz w:val="20"/>
              </w:rPr>
              <w:t xml:space="preserve">Last reviewed</w:t>
            </w:r>
          </w:p>
        </w:tc>
        <w:tc>
          <w:tcPr>
            <w:tcW w:w="4680" w:type="dxa"/>
          </w:tcPr>
          <w:p>
            <w:r>
              <w:rPr>
                <w:sz w:val="20"/>
              </w:rPr>
              <w:t xml:space="preserve">[Date]</w:t>
            </w:r>
          </w:p>
        </w:tc>
      </w:tr>
      <w:tr>
        <w:tc>
          <w:tcPr>
            <w:tcW w:w="4680" w:type="dxa"/>
          </w:tcPr>
          <w:p>
            <w:r>
              <w:rPr>
                <w:sz w:val="20"/>
              </w:rPr>
              <w:t xml:space="preserve">Next review due</w:t>
            </w:r>
          </w:p>
        </w:tc>
        <w:tc>
          <w:tcPr>
            <w:tcW w:w="4680" w:type="dxa"/>
          </w:tcPr>
          <w:p>
            <w:r>
              <w:rPr>
                <w:sz w:val="20"/>
              </w:rPr>
              <w:t xml:space="preserve">[Date, and this date is what makes section 11 real]</w:t>
            </w:r>
          </w:p>
        </w:tc>
      </w:tr>
    </w:tbl>
    <w:p>
      <w:r>
        <w:rPr>
          <w:sz w:val="2"/>
        </w:rPr>
        <w:t xml:space="preserve"/>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before="0" w:after="80"/>
    </w:pPr>
    <w:rPr>
      <w:b/>
      <w:sz w:val="40"/>
      <w:szCs w:val="40"/>
      <w:color w:val="111827"/>
    </w:rPr>
  </w:style>
  <w:style w:type="paragraph" w:styleId="Heading1">
    <w:name w:val="heading 1"/>
    <w:basedOn w:val="Normal"/>
    <w:qFormat/>
    <w:pPr>
      <w:keepNext/>
      <w:spacing w:before="320" w:after="120"/>
      <w:outlineLvl w:val="0"/>
    </w:pPr>
    <w:rPr>
      <w:b/>
      <w:sz w:val="28"/>
      <w:szCs w:val="28"/>
      <w:color w:val="0F172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Background check policy</dc:title>
  <dc:creator>Personnelgraph</dc:creator>
  <cp:lastModifiedBy>Personnelgraph</cp:lastModifiedBy>
</cp:coreProperties>
</file>