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Retention schedule</w:t>
      </w:r>
    </w:p>
    <w:p>
      <w:pPr>
        <w:spacing w:after="240"/>
      </w:pPr>
      <w:r>
        <w:rPr>
          <w:i/>
        </w:rPr>
        <w:t xml:space="preserve">How long each screening record is kept, what drives the period, and how it is destroyed.</w:t>
      </w:r>
    </w:p>
    <w:p>
      <w:pPr>
        <w:pStyle w:val="Heading1"/>
      </w:pPr>
      <w:r>
        <w:t xml:space="preserve">What drives these periods</w:t>
      </w:r>
    </w:p>
    <w:p>
      <w:pPr>
        <w:spacing w:after="120"/>
      </w:pPr>
      <w:r>
        <w:t xml:space="preserve">Four things, and the longest one wins in each row.</w:t>
      </w:r>
    </w:p>
    <w:p>
      <w:pPr>
        <w:spacing w:after="60"/>
        <w:ind w:left="360" w:hanging="360"/>
      </w:pPr>
      <w:r>
        <w:t xml:space="preserve">•	The FCRA limitation period. A claim may be brought up to two years after discovery and no more than five years after the violation, which is the outer bound on records that would defend a notice sequence.</w:t>
      </w:r>
    </w:p>
    <w:p>
      <w:pPr>
        <w:spacing w:after="60"/>
        <w:ind w:left="360" w:hanging="360"/>
      </w:pPr>
      <w:r>
        <w:t xml:space="preserve">•	The EEOC recordkeeping rule. Employment records, including records about a personnel action, are kept for one year from the date of the record or the action, whichever is later, and for the life of any charge that is filed.</w:t>
      </w:r>
    </w:p>
    <w:p>
      <w:pPr>
        <w:spacing w:after="60"/>
        <w:ind w:left="360" w:hanging="360"/>
      </w:pPr>
      <w:r>
        <w:t xml:space="preserve">•	Federal contractor obligations, where they apply. Employment records for contractors are generally kept for two years.</w:t>
      </w:r>
    </w:p>
    <w:p>
      <w:pPr>
        <w:spacing w:after="60"/>
        <w:ind w:left="360" w:hanging="360"/>
      </w:pPr>
      <w:r>
        <w:t xml:space="preserve">•	State limitation periods and state recordkeeping rules, which can be longer than any of the above and which are checked per state rather than assumed.</w:t>
      </w:r>
    </w:p>
    <w:p>
      <w:pPr>
        <w:pBdr>
          <w:left w:val="single" w:sz="18" w:space="8" w:color="0F766E"/>
        </w:pBdr>
        <w:shd w:val="clear" w:color="auto" w:fill="F7F7F5"/>
        <w:spacing w:before="120" w:after="180"/>
        <w:ind w:left="240"/>
      </w:pPr>
      <w:r>
        <w:rPr>
          <w:i/>
        </w:rPr>
        <w:t xml:space="preserve">The driver column below is why a period is what it is. When a period in this table is questioned, the answer should be a rule rather than a habit.</w:t>
      </w:r>
    </w:p>
    <w:p>
      <w:pPr>
        <w:pStyle w:val="Heading1"/>
      </w:pPr>
      <w:r>
        <w:t xml:space="preserve">The schedule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120"/>
        <w:gridCol w:w="3120"/>
        <w:gridCol w:w="3120"/>
      </w:tblGrid>
      <w:tr>
        <w:tc>
          <w:tcPr>
            <w:tcW w:w="3120" w:type="dxa"/>
            <w:shd w:val="clear" w:color="auto" w:fill="F2F2F2"/>
          </w:tcPr>
          <w:p>
            <w:r>
              <w:rPr>
                <w:b/>
                <w:sz w:val="20"/>
              </w:rPr>
              <w:t xml:space="preserve">Record</w:t>
            </w:r>
          </w:p>
        </w:tc>
        <w:tc>
          <w:tcPr>
            <w:tcW w:w="3120" w:type="dxa"/>
            <w:shd w:val="clear" w:color="auto" w:fill="F2F2F2"/>
          </w:tcPr>
          <w:p>
            <w:r>
              <w:rPr>
                <w:b/>
                <w:sz w:val="20"/>
              </w:rPr>
              <w:t xml:space="preserve">Minimum</w:t>
            </w:r>
          </w:p>
        </w:tc>
        <w:tc>
          <w:tcPr>
            <w:tcW w:w="3120" w:type="dxa"/>
            <w:shd w:val="clear" w:color="auto" w:fill="F2F2F2"/>
          </w:tcPr>
          <w:p>
            <w:r>
              <w:rPr>
                <w:b/>
                <w:sz w:val="20"/>
              </w:rPr>
              <w:t xml:space="preserve">Driver</w:t>
            </w:r>
          </w:p>
        </w:tc>
      </w:tr>
      <w:tr>
        <w:tc>
          <w:tcPr>
            <w:tcW w:w="3120" w:type="dxa"/>
          </w:tcPr>
          <w:p>
            <w:r>
              <w:rPr>
                <w:sz w:val="20"/>
              </w:rPr>
              <w:t xml:space="preserve">Disclosure and authorization</w:t>
            </w:r>
          </w:p>
        </w:tc>
        <w:tc>
          <w:tcPr>
            <w:tcW w:w="3120" w:type="dxa"/>
          </w:tcPr>
          <w:p>
            <w:r>
              <w:rPr>
                <w:sz w:val="20"/>
              </w:rPr>
              <w:t xml:space="preserve">5 years from the date signed</w:t>
            </w:r>
          </w:p>
        </w:tc>
        <w:tc>
          <w:tcPr>
            <w:tcW w:w="3120" w:type="dxa"/>
          </w:tcPr>
          <w:p>
            <w:r>
              <w:rPr>
                <w:sz w:val="20"/>
              </w:rPr>
              <w:t xml:space="preserve">FCRA limitation period</w:t>
            </w:r>
          </w:p>
        </w:tc>
      </w:tr>
      <w:tr>
        <w:tc>
          <w:tcPr>
            <w:tcW w:w="3120" w:type="dxa"/>
          </w:tcPr>
          <w:p>
            <w:r>
              <w:rPr>
                <w:sz w:val="20"/>
              </w:rPr>
              <w:t xml:space="preserve">Consumer report as received</w:t>
            </w:r>
          </w:p>
        </w:tc>
        <w:tc>
          <w:tcPr>
            <w:tcW w:w="3120" w:type="dxa"/>
          </w:tcPr>
          <w:p>
            <w:r>
              <w:rPr>
                <w:sz w:val="20"/>
              </w:rPr>
              <w:t xml:space="preserve">5 years from receipt</w:t>
            </w:r>
          </w:p>
        </w:tc>
        <w:tc>
          <w:tcPr>
            <w:tcW w:w="3120" w:type="dxa"/>
          </w:tcPr>
          <w:p>
            <w:r>
              <w:rPr>
                <w:sz w:val="20"/>
              </w:rPr>
              <w:t xml:space="preserve">FCRA limitation period</w:t>
            </w:r>
          </w:p>
        </w:tc>
      </w:tr>
      <w:tr>
        <w:tc>
          <w:tcPr>
            <w:tcW w:w="3120" w:type="dxa"/>
          </w:tcPr>
          <w:p>
            <w:r>
              <w:rPr>
                <w:sz w:val="20"/>
              </w:rPr>
              <w:t xml:space="preserve">Pre-adverse action notice and proof of delivery</w:t>
            </w:r>
          </w:p>
        </w:tc>
        <w:tc>
          <w:tcPr>
            <w:tcW w:w="3120" w:type="dxa"/>
          </w:tcPr>
          <w:p>
            <w:r>
              <w:rPr>
                <w:sz w:val="20"/>
              </w:rPr>
              <w:t xml:space="preserve">5 years from sending</w:t>
            </w:r>
          </w:p>
        </w:tc>
        <w:tc>
          <w:tcPr>
            <w:tcW w:w="3120" w:type="dxa"/>
          </w:tcPr>
          <w:p>
            <w:r>
              <w:rPr>
                <w:sz w:val="20"/>
              </w:rPr>
              <w:t xml:space="preserve">FCRA limitation period, and this is the record that proves the sequence</w:t>
            </w:r>
          </w:p>
        </w:tc>
      </w:tr>
      <w:tr>
        <w:tc>
          <w:tcPr>
            <w:tcW w:w="3120" w:type="dxa"/>
          </w:tcPr>
          <w:p>
            <w:r>
              <w:rPr>
                <w:sz w:val="20"/>
              </w:rPr>
              <w:t xml:space="preserve">Individualized assessment worksheet</w:t>
            </w:r>
          </w:p>
        </w:tc>
        <w:tc>
          <w:tcPr>
            <w:tcW w:w="3120" w:type="dxa"/>
          </w:tcPr>
          <w:p>
            <w:r>
              <w:rPr>
                <w:sz w:val="20"/>
              </w:rPr>
              <w:t xml:space="preserve">5 years from the decision</w:t>
            </w:r>
          </w:p>
        </w:tc>
        <w:tc>
          <w:tcPr>
            <w:tcW w:w="3120" w:type="dxa"/>
          </w:tcPr>
          <w:p>
            <w:r>
              <w:rPr>
                <w:sz w:val="20"/>
              </w:rPr>
              <w:t xml:space="preserve">FCRA limitation period, plus state fair chance record requirements where they apply</w:t>
            </w:r>
          </w:p>
        </w:tc>
      </w:tr>
      <w:tr>
        <w:tc>
          <w:tcPr>
            <w:tcW w:w="3120" w:type="dxa"/>
          </w:tcPr>
          <w:p>
            <w:r>
              <w:rPr>
                <w:sz w:val="20"/>
              </w:rPr>
              <w:t xml:space="preserve">Final adverse action notice</w:t>
            </w:r>
          </w:p>
        </w:tc>
        <w:tc>
          <w:tcPr>
            <w:tcW w:w="3120" w:type="dxa"/>
          </w:tcPr>
          <w:p>
            <w:r>
              <w:rPr>
                <w:sz w:val="20"/>
              </w:rPr>
              <w:t xml:space="preserve">5 years from sending</w:t>
            </w:r>
          </w:p>
        </w:tc>
        <w:tc>
          <w:tcPr>
            <w:tcW w:w="3120" w:type="dxa"/>
          </w:tcPr>
          <w:p>
            <w:r>
              <w:rPr>
                <w:sz w:val="20"/>
              </w:rPr>
              <w:t xml:space="preserve">FCRA limitation period</w:t>
            </w:r>
          </w:p>
        </w:tc>
      </w:tr>
      <w:tr>
        <w:tc>
          <w:tcPr>
            <w:tcW w:w="3120" w:type="dxa"/>
          </w:tcPr>
          <w:p>
            <w:r>
              <w:rPr>
                <w:sz w:val="20"/>
              </w:rPr>
              <w:t xml:space="preserve">Records for applicants not hired</w:t>
            </w:r>
          </w:p>
        </w:tc>
        <w:tc>
          <w:tcPr>
            <w:tcW w:w="3120" w:type="dxa"/>
          </w:tcPr>
          <w:p>
            <w:r>
              <w:rPr>
                <w:sz w:val="20"/>
              </w:rPr>
              <w:t xml:space="preserve">1 year from the decision, 2 years for federal contractor positions</w:t>
            </w:r>
          </w:p>
        </w:tc>
        <w:tc>
          <w:tcPr>
            <w:tcW w:w="3120" w:type="dxa"/>
          </w:tcPr>
          <w:p>
            <w:r>
              <w:rPr>
                <w:sz w:val="20"/>
              </w:rPr>
              <w:t xml:space="preserve">EEOC recordkeeping, contractor rule</w:t>
            </w:r>
          </w:p>
        </w:tc>
      </w:tr>
      <w:tr>
        <w:tc>
          <w:tcPr>
            <w:tcW w:w="3120" w:type="dxa"/>
          </w:tcPr>
          <w:p>
            <w:r>
              <w:rPr>
                <w:sz w:val="20"/>
              </w:rPr>
              <w:t xml:space="preserve">Records for a person hired</w:t>
            </w:r>
          </w:p>
        </w:tc>
        <w:tc>
          <w:tcPr>
            <w:tcW w:w="3120" w:type="dxa"/>
          </w:tcPr>
          <w:p>
            <w:r>
              <w:rPr>
                <w:sz w:val="20"/>
              </w:rPr>
              <w:t xml:space="preserve">Duration of employment plus 5 years</w:t>
            </w:r>
          </w:p>
        </w:tc>
        <w:tc>
          <w:tcPr>
            <w:tcW w:w="3120" w:type="dxa"/>
          </w:tcPr>
          <w:p>
            <w:r>
              <w:rPr>
                <w:sz w:val="20"/>
              </w:rPr>
              <w:t xml:space="preserve">FCRA limitation period, and employment claims</w:t>
            </w:r>
          </w:p>
        </w:tc>
      </w:tr>
      <w:tr>
        <w:tc>
          <w:tcPr>
            <w:tcW w:w="3120" w:type="dxa"/>
          </w:tcPr>
          <w:p>
            <w:r>
              <w:rPr>
                <w:sz w:val="20"/>
              </w:rPr>
              <w:t xml:space="preserve">Adjudication matrix and policy versions</w:t>
            </w:r>
          </w:p>
        </w:tc>
        <w:tc>
          <w:tcPr>
            <w:tcW w:w="3120" w:type="dxa"/>
          </w:tcPr>
          <w:p>
            <w:r>
              <w:rPr>
                <w:sz w:val="20"/>
              </w:rPr>
              <w:t xml:space="preserve">5 years from supersession</w:t>
            </w:r>
          </w:p>
        </w:tc>
        <w:tc>
          <w:tcPr>
            <w:tcW w:w="3120" w:type="dxa"/>
          </w:tcPr>
          <w:p>
            <w:r>
              <w:rPr>
                <w:sz w:val="20"/>
              </w:rPr>
              <w:t xml:space="preserve">Proves the standard in force at the time of a decision</w:t>
            </w:r>
          </w:p>
        </w:tc>
      </w:tr>
      <w:tr>
        <w:tc>
          <w:tcPr>
            <w:tcW w:w="3120" w:type="dxa"/>
          </w:tcPr>
          <w:p>
            <w:r>
              <w:rPr>
                <w:sz w:val="20"/>
              </w:rPr>
              <w:t xml:space="preserve">Dispute correspondence</w:t>
            </w:r>
          </w:p>
        </w:tc>
        <w:tc>
          <w:tcPr>
            <w:tcW w:w="3120" w:type="dxa"/>
          </w:tcPr>
          <w:p>
            <w:r>
              <w:rPr>
                <w:sz w:val="20"/>
              </w:rPr>
              <w:t xml:space="preserve">5 years from resolution</w:t>
            </w:r>
          </w:p>
        </w:tc>
        <w:tc>
          <w:tcPr>
            <w:tcW w:w="3120" w:type="dxa"/>
          </w:tcPr>
          <w:p>
            <w:r>
              <w:rPr>
                <w:sz w:val="20"/>
              </w:rPr>
              <w:t xml:space="preserve">FCRA limitation period</w:t>
            </w:r>
          </w:p>
        </w:tc>
      </w:tr>
      <w:tr>
        <w:tc>
          <w:tcPr>
            <w:tcW w:w="3120" w:type="dxa"/>
          </w:tcPr>
          <w:p>
            <w:r>
              <w:rPr>
                <w:sz w:val="20"/>
              </w:rPr>
              <w:t xml:space="preserve">Provider contracts and certifications</w:t>
            </w:r>
          </w:p>
        </w:tc>
        <w:tc>
          <w:tcPr>
            <w:tcW w:w="3120" w:type="dxa"/>
          </w:tcPr>
          <w:p>
            <w:r>
              <w:rPr>
                <w:sz w:val="20"/>
              </w:rPr>
              <w:t xml:space="preserve">5 years from expiry</w:t>
            </w:r>
          </w:p>
        </w:tc>
        <w:tc>
          <w:tcPr>
            <w:tcW w:w="3120" w:type="dxa"/>
          </w:tcPr>
          <w:p>
            <w:r>
              <w:rPr>
                <w:sz w:val="20"/>
              </w:rPr>
              <w:t xml:space="preserve">FCRA limitation period</w:t>
            </w:r>
          </w:p>
        </w:tc>
      </w:tr>
      <w:tr>
        <w:tc>
          <w:tcPr>
            <w:tcW w:w="3120" w:type="dxa"/>
          </w:tcPr>
          <w:p>
            <w:r>
              <w:rPr>
                <w:sz w:val="20"/>
              </w:rPr>
              <w:t xml:space="preserve">Any record under legal hold</w:t>
            </w:r>
          </w:p>
        </w:tc>
        <w:tc>
          <w:tcPr>
            <w:tcW w:w="3120" w:type="dxa"/>
          </w:tcPr>
          <w:p>
            <w:r>
              <w:rPr>
                <w:sz w:val="20"/>
              </w:rPr>
              <w:t xml:space="preserve">Until the hold is lifted in writing</w:t>
            </w:r>
          </w:p>
        </w:tc>
        <w:tc>
          <w:tcPr>
            <w:tcW w:w="3120" w:type="dxa"/>
          </w:tcPr>
          <w:p>
            <w:r>
              <w:rPr>
                <w:sz w:val="20"/>
              </w:rPr>
              <w:t xml:space="preserve">Preservation duty overrides the schedule</w:t>
            </w:r>
          </w:p>
        </w:tc>
      </w:tr>
    </w:tbl>
    <w:p>
      <w:r>
        <w:rPr>
          <w:sz w:val="2"/>
        </w:rPr>
        <w:t xml:space="preserve"/>
      </w:r>
    </w:p>
    <w:p>
      <w:pPr>
        <w:pStyle w:val="Heading1"/>
      </w:pPr>
      <w:r>
        <w:t xml:space="preserve">Where the schedule and a state rule disagree</w:t>
      </w:r>
    </w:p>
    <w:p>
      <w:pPr>
        <w:spacing w:after="120"/>
      </w:pPr>
      <w:r>
        <w:t xml:space="preserve">Where a state requires a longer period, the state period governs and the row above is extended for that state. Where a state requires a shorter period for a category of record, we do not shorten below the federal period unless counsel has confirmed the state rule displaces it, because a state rule that requires destruction cannot be read as a license to destroy a record the applicant may still need.</w:t>
      </w:r>
    </w:p>
    <w:p>
      <w:pPr>
        <w:pStyle w:val="Heading1"/>
      </w:pPr>
      <w:r>
        <w:t xml:space="preserve">Legal hold</w:t>
      </w:r>
    </w:p>
    <w:p>
      <w:pPr>
        <w:spacing w:after="60"/>
        <w:ind w:left="360" w:hanging="360"/>
      </w:pPr>
      <w:r>
        <w:t xml:space="preserve">•	A hold applies to everything in the applicant's file and to the assessment, and it survives any period in this schedule.</w:t>
      </w:r>
    </w:p>
    <w:p>
      <w:pPr>
        <w:spacing w:after="60"/>
        <w:ind w:left="360" w:hanging="360"/>
      </w:pPr>
      <w:r>
        <w:t xml:space="preserve">•	Holds are lifted in writing by the person who set them, and the lift is recorded against the file.</w:t>
      </w:r>
    </w:p>
    <w:p>
      <w:pPr>
        <w:spacing w:after="60"/>
        <w:ind w:left="360" w:hanging="360"/>
      </w:pPr>
      <w:r>
        <w:t xml:space="preserve">•	Destruction that runs on a schedule while a hold is unknown is the failure this section exists to prevent, which is why the program owner confirms holds before each destruction run.</w:t>
      </w:r>
    </w:p>
    <w:p>
      <w:pPr>
        <w:pStyle w:val="Heading1"/>
      </w:pPr>
      <w:r>
        <w:t xml:space="preserve">Destruction</w:t>
      </w:r>
    </w:p>
    <w:p>
      <w:pPr>
        <w:spacing w:after="60"/>
        <w:ind w:left="360" w:hanging="360"/>
      </w:pPr>
      <w:r>
        <w:t xml:space="preserve">•	Paper records are shredded, cross-cut, and the destruction is certified by the vendor.</w:t>
      </w:r>
    </w:p>
    <w:p>
      <w:pPr>
        <w:spacing w:after="60"/>
        <w:ind w:left="360" w:hanging="360"/>
      </w:pPr>
      <w:r>
        <w:t xml:space="preserve">•	Electronic records are deleted from live systems and from backups on the backup rotation, and the deletion is logged with the date, the record type and the authority for the action.</w:t>
      </w:r>
    </w:p>
    <w:p>
      <w:pPr>
        <w:spacing w:after="60"/>
        <w:ind w:left="360" w:hanging="360"/>
      </w:pPr>
      <w:r>
        <w:t xml:space="preserve">•	Records held by a screening provider are covered by the contract, which must require destruction on the same schedule and must say what the provider does at the end of the term.</w:t>
      </w:r>
    </w:p>
    <w:p>
      <w:pPr>
        <w:spacing w:after="60"/>
        <w:ind w:left="360" w:hanging="360"/>
      </w:pPr>
      <w:r>
        <w:t xml:space="preserve">•	No consumer report information is disposed of in a way that leaves it readable, which is the requirement the Disposal Rule imposes.</w:t>
      </w:r>
    </w:p>
    <w:p>
      <w:pPr>
        <w:pStyle w:val="Heading1"/>
      </w:pPr>
      <w:r>
        <w:t xml:space="preserve">Document inventory</w:t>
      </w:r>
    </w:p>
    <w:p>
      <w:pPr>
        <w:spacing w:after="120"/>
      </w:pPr>
      <w:r>
        <w:t xml:space="preserve">The following records exist for a single hire. This list is the checklist for a destruction run and for a response to a claim, and the two uses are the reason it is exhaustive rather than convenient.</w:t>
      </w:r>
    </w:p>
    <w:p>
      <w:pPr>
        <w:spacing w:after="60"/>
        <w:ind w:left="360" w:hanging="360"/>
      </w:pPr>
      <w:r>
        <w:t xml:space="preserve">1.	The job requisition and the conditional offer</w:t>
      </w:r>
    </w:p>
    <w:p>
      <w:pPr>
        <w:spacing w:after="60"/>
        <w:ind w:left="360" w:hanging="360"/>
      </w:pPr>
      <w:r>
        <w:t xml:space="preserve">2.	The signed disclosure and authorization</w:t>
      </w:r>
    </w:p>
    <w:p>
      <w:pPr>
        <w:spacing w:after="60"/>
        <w:ind w:left="360" w:hanging="360"/>
      </w:pPr>
      <w:r>
        <w:t xml:space="preserve">3.	The provider certification signed by us</w:t>
      </w:r>
    </w:p>
    <w:p>
      <w:pPr>
        <w:spacing w:after="60"/>
        <w:ind w:left="360" w:hanging="360"/>
      </w:pPr>
      <w:r>
        <w:t xml:space="preserve">4.	The consumer report as received, with sources and verification dates</w:t>
      </w:r>
    </w:p>
    <w:p>
      <w:pPr>
        <w:spacing w:after="60"/>
        <w:ind w:left="360" w:hanging="360"/>
      </w:pPr>
      <w:r>
        <w:t xml:space="preserve">5.	Proof of delivery of the pre-adverse packet</w:t>
      </w:r>
    </w:p>
    <w:p>
      <w:pPr>
        <w:spacing w:after="60"/>
        <w:ind w:left="360" w:hanging="360"/>
      </w:pPr>
      <w:r>
        <w:t xml:space="preserve">6.	The fair chance notice and written assessment, where required</w:t>
      </w:r>
    </w:p>
    <w:p>
      <w:pPr>
        <w:spacing w:after="60"/>
        <w:ind w:left="360" w:hanging="360"/>
      </w:pPr>
      <w:r>
        <w:t xml:space="preserve">7.	Any dispute correspondence from the applicant</w:t>
      </w:r>
    </w:p>
    <w:p>
      <w:pPr>
        <w:spacing w:after="60"/>
        <w:ind w:left="360" w:hanging="360"/>
      </w:pPr>
      <w:r>
        <w:t xml:space="preserve">8.	The corrected report, where a dispute produced one</w:t>
      </w:r>
    </w:p>
    <w:p>
      <w:pPr>
        <w:spacing w:after="60"/>
        <w:ind w:left="360" w:hanging="360"/>
      </w:pPr>
      <w:r>
        <w:t xml:space="preserve">9.	The completed individualized assessment worksheet</w:t>
      </w:r>
    </w:p>
    <w:p>
      <w:pPr>
        <w:spacing w:after="60"/>
        <w:ind w:left="360" w:hanging="360"/>
      </w:pPr>
      <w:r>
        <w:t xml:space="preserve">10.	Proof of delivery of the final notice</w:t>
      </w:r>
    </w:p>
    <w:p>
      <w:pPr>
        <w:spacing w:after="60"/>
        <w:ind w:left="360" w:hanging="360"/>
      </w:pPr>
      <w:r>
        <w:t xml:space="preserve">11.	The decision record on the requisition</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before="0" w:after="80"/>
    </w:pPr>
    <w:rPr>
      <w:b/>
      <w:sz w:val="40"/>
      <w:szCs w:val="40"/>
      <w:color w:val="111827"/>
    </w:rPr>
  </w:style>
  <w:style w:type="paragraph" w:styleId="Heading1">
    <w:name w:val="heading 1"/>
    <w:basedOn w:val="Normal"/>
    <w:qFormat/>
    <w:pPr>
      <w:keepNext/>
      <w:spacing w:before="320" w:after="120"/>
      <w:outlineLvl w:val="0"/>
    </w:pPr>
    <w:rPr>
      <w:b/>
      <w:sz w:val="28"/>
      <w:szCs w:val="28"/>
      <w:color w:val="0F172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Retention schedule</dc:title>
  <dc:creator>Personnelgraph</dc:creator>
  <cp:lastModifiedBy>Personnelgraph</cp:lastModifiedBy>
</cp:coreProperties>
</file>