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Individualized assessment worksheet</w:t>
      </w:r>
    </w:p>
    <w:p>
      <w:pPr>
        <w:spacing w:after="240"/>
      </w:pPr>
      <w:r>
        <w:rPr>
          <w:i/>
        </w:rPr>
        <w:t xml:space="preserve">The record of a decision about a criminal record: what was relied on, what the applicant said, and why the outcome followed.</w:t>
      </w:r>
    </w:p>
    <w:p>
      <w:pPr>
        <w:pStyle w:val="Heading1"/>
      </w:pPr>
      <w:r>
        <w:t xml:space="preserve">When this is required</w:t>
      </w:r>
    </w:p>
    <w:p>
      <w:pPr>
        <w:spacing w:after="120"/>
      </w:pPr>
      <w:r>
        <w:t xml:space="preserve">Complete this worksheet whenever a criminal record is going to be considered in a decision, in every location. Several jurisdictions require it in writing. We complete it everywhere, both because the federal exposure exists everywhere and because a program that only reasons in the places that compel it produces two standards and one of them is indefensible.</w:t>
      </w:r>
    </w:p>
    <w:p>
      <w:pPr>
        <w:pStyle w:val="Heading1"/>
      </w:pPr>
      <w:r>
        <w:t xml:space="preserve">Section 1: the record</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4680"/>
        <w:gridCol w:w="4680"/>
      </w:tblGrid>
      <w:tr>
        <w:tc>
          <w:tcPr>
            <w:tcW w:w="4680" w:type="dxa"/>
            <w:shd w:val="clear" w:color="auto" w:fill="F2F2F2"/>
          </w:tcPr>
          <w:p>
            <w:r>
              <w:rPr>
                <w:b/>
                <w:sz w:val="20"/>
              </w:rPr>
              <w:t xml:space="preserve">Field</w:t>
            </w:r>
          </w:p>
        </w:tc>
        <w:tc>
          <w:tcPr>
            <w:tcW w:w="4680" w:type="dxa"/>
            <w:shd w:val="clear" w:color="auto" w:fill="F2F2F2"/>
          </w:tcPr>
          <w:p>
            <w:r>
              <w:rPr>
                <w:b/>
                <w:sz w:val="20"/>
              </w:rPr>
              <w:t xml:space="preserve">Entry</w:t>
            </w:r>
          </w:p>
        </w:tc>
      </w:tr>
      <w:tr>
        <w:tc>
          <w:tcPr>
            <w:tcW w:w="4680" w:type="dxa"/>
          </w:tcPr>
          <w:p>
            <w:r>
              <w:rPr>
                <w:sz w:val="20"/>
              </w:rPr>
              <w:t xml:space="preserve">Applicant</w:t>
            </w:r>
          </w:p>
        </w:tc>
        <w:tc>
          <w:tcPr>
            <w:tcW w:w="4680" w:type="dxa"/>
          </w:tcPr>
          <w:p>
            <w:r>
              <w:rPr>
                <w:sz w:val="20"/>
              </w:rPr>
              <w:t xml:space="preserve"> </w:t>
            </w:r>
          </w:p>
        </w:tc>
      </w:tr>
      <w:tr>
        <w:tc>
          <w:tcPr>
            <w:tcW w:w="4680" w:type="dxa"/>
          </w:tcPr>
          <w:p>
            <w:r>
              <w:rPr>
                <w:sz w:val="20"/>
              </w:rPr>
              <w:t xml:space="preserve">Requisition or position</w:t>
            </w:r>
          </w:p>
        </w:tc>
        <w:tc>
          <w:tcPr>
            <w:tcW w:w="4680" w:type="dxa"/>
          </w:tcPr>
          <w:p>
            <w:r>
              <w:rPr>
                <w:sz w:val="20"/>
              </w:rPr>
              <w:t xml:space="preserve"> </w:t>
            </w:r>
          </w:p>
        </w:tc>
      </w:tr>
      <w:tr>
        <w:tc>
          <w:tcPr>
            <w:tcW w:w="4680" w:type="dxa"/>
          </w:tcPr>
          <w:p>
            <w:r>
              <w:rPr>
                <w:sz w:val="20"/>
              </w:rPr>
              <w:t xml:space="preserve">Record relied on</w:t>
            </w:r>
          </w:p>
        </w:tc>
        <w:tc>
          <w:tcPr>
            <w:tcW w:w="4680" w:type="dxa"/>
          </w:tcPr>
          <w:p>
            <w:r>
              <w:rPr>
                <w:sz w:val="20"/>
              </w:rPr>
              <w:t xml:space="preserve">Offense, court, case number, date</w:t>
            </w:r>
          </w:p>
        </w:tc>
      </w:tr>
      <w:tr>
        <w:tc>
          <w:tcPr>
            <w:tcW w:w="4680" w:type="dxa"/>
          </w:tcPr>
          <w:p>
            <w:r>
              <w:rPr>
                <w:sz w:val="20"/>
              </w:rPr>
              <w:t xml:space="preserve">Disposition</w:t>
            </w:r>
          </w:p>
        </w:tc>
        <w:tc>
          <w:tcPr>
            <w:tcW w:w="4680" w:type="dxa"/>
          </w:tcPr>
          <w:p>
            <w:r>
              <w:rPr>
                <w:sz w:val="20"/>
              </w:rPr>
              <w:t xml:space="preserve">Conviction, pending, non-conviction, unknown</w:t>
            </w:r>
          </w:p>
        </w:tc>
      </w:tr>
      <w:tr>
        <w:tc>
          <w:tcPr>
            <w:tcW w:w="4680" w:type="dxa"/>
          </w:tcPr>
          <w:p>
            <w:r>
              <w:rPr>
                <w:sz w:val="20"/>
              </w:rPr>
              <w:t xml:space="preserve">Date of offense</w:t>
            </w:r>
          </w:p>
        </w:tc>
        <w:tc>
          <w:tcPr>
            <w:tcW w:w="4680" w:type="dxa"/>
          </w:tcPr>
          <w:p>
            <w:r>
              <w:rPr>
                <w:sz w:val="20"/>
              </w:rPr>
              <w:t xml:space="preserve"> </w:t>
            </w:r>
          </w:p>
        </w:tc>
      </w:tr>
      <w:tr>
        <w:tc>
          <w:tcPr>
            <w:tcW w:w="4680" w:type="dxa"/>
          </w:tcPr>
          <w:p>
            <w:r>
              <w:rPr>
                <w:sz w:val="20"/>
              </w:rPr>
              <w:t xml:space="preserve">Date sentence completed</w:t>
            </w:r>
          </w:p>
        </w:tc>
        <w:tc>
          <w:tcPr>
            <w:tcW w:w="4680" w:type="dxa"/>
          </w:tcPr>
          <w:p>
            <w:r>
              <w:rPr>
                <w:sz w:val="20"/>
              </w:rPr>
              <w:t xml:space="preserve">Including supervision. If not complete, say so.</w:t>
            </w:r>
          </w:p>
        </w:tc>
      </w:tr>
      <w:tr>
        <w:tc>
          <w:tcPr>
            <w:tcW w:w="4680" w:type="dxa"/>
          </w:tcPr>
          <w:p>
            <w:r>
              <w:rPr>
                <w:sz w:val="20"/>
              </w:rPr>
              <w:t xml:space="preserve">Source and date verified</w:t>
            </w:r>
          </w:p>
        </w:tc>
        <w:tc>
          <w:tcPr>
            <w:tcW w:w="4680" w:type="dxa"/>
          </w:tcPr>
          <w:p>
            <w:r>
              <w:rPr>
                <w:sz w:val="20"/>
              </w:rPr>
              <w:t xml:space="preserve">From the report. A record without this does not proceed.</w:t>
            </w:r>
          </w:p>
        </w:tc>
      </w:tr>
      <w:tr>
        <w:tc>
          <w:tcPr>
            <w:tcW w:w="4680" w:type="dxa"/>
          </w:tcPr>
          <w:p>
            <w:r>
              <w:rPr>
                <w:sz w:val="20"/>
              </w:rPr>
              <w:t xml:space="preserve">Summary of the conduct</w:t>
            </w:r>
          </w:p>
        </w:tc>
        <w:tc>
          <w:tcPr>
            <w:tcW w:w="4680" w:type="dxa"/>
          </w:tcPr>
          <w:p>
            <w:r>
              <w:rPr>
                <w:sz w:val="20"/>
              </w:rPr>
              <w:t xml:space="preserve">What the applicant was convicted of, in plain terms. Not the statutory citation alone.</w:t>
            </w:r>
          </w:p>
        </w:tc>
      </w:tr>
    </w:tbl>
    <w:p>
      <w:r>
        <w:rPr>
          <w:sz w:val="2"/>
        </w:rPr>
        <w:t xml:space="preserve"/>
      </w:r>
    </w:p>
    <w:p>
      <w:pPr>
        <w:pStyle w:val="Heading1"/>
      </w:pPr>
      <w:r>
        <w:t xml:space="preserve">Section 2: the position</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4680"/>
        <w:gridCol w:w="4680"/>
      </w:tblGrid>
      <w:tr>
        <w:tc>
          <w:tcPr>
            <w:tcW w:w="4680" w:type="dxa"/>
            <w:shd w:val="clear" w:color="auto" w:fill="F2F2F2"/>
          </w:tcPr>
          <w:p>
            <w:r>
              <w:rPr>
                <w:b/>
                <w:sz w:val="20"/>
              </w:rPr>
              <w:t xml:space="preserve">Field</w:t>
            </w:r>
          </w:p>
        </w:tc>
        <w:tc>
          <w:tcPr>
            <w:tcW w:w="4680" w:type="dxa"/>
            <w:shd w:val="clear" w:color="auto" w:fill="F2F2F2"/>
          </w:tcPr>
          <w:p>
            <w:r>
              <w:rPr>
                <w:b/>
                <w:sz w:val="20"/>
              </w:rPr>
              <w:t xml:space="preserve">Entry</w:t>
            </w:r>
          </w:p>
        </w:tc>
      </w:tr>
      <w:tr>
        <w:tc>
          <w:tcPr>
            <w:tcW w:w="4680" w:type="dxa"/>
          </w:tcPr>
          <w:p>
            <w:r>
              <w:rPr>
                <w:sz w:val="20"/>
              </w:rPr>
              <w:t xml:space="preserve">Duties that bear on this record</w:t>
            </w:r>
          </w:p>
        </w:tc>
        <w:tc>
          <w:tcPr>
            <w:tcW w:w="4680" w:type="dxa"/>
          </w:tcPr>
          <w:p>
            <w:r>
              <w:rPr>
                <w:sz w:val="20"/>
              </w:rPr>
              <w:t xml:space="preserve">Name them. If none can be named, the assessment ends here.</w:t>
            </w:r>
          </w:p>
        </w:tc>
      </w:tr>
      <w:tr>
        <w:tc>
          <w:tcPr>
            <w:tcW w:w="4680" w:type="dxa"/>
          </w:tcPr>
          <w:p>
            <w:r>
              <w:rPr>
                <w:sz w:val="20"/>
              </w:rPr>
              <w:t xml:space="preserve">Sensitivity level</w:t>
            </w:r>
          </w:p>
        </w:tc>
        <w:tc>
          <w:tcPr>
            <w:tcW w:w="4680" w:type="dxa"/>
          </w:tcPr>
          <w:p>
            <w:r>
              <w:rPr>
                <w:sz w:val="20"/>
              </w:rPr>
              <w:t xml:space="preserve">From the adjudication matrix</w:t>
            </w:r>
          </w:p>
        </w:tc>
      </w:tr>
      <w:tr>
        <w:tc>
          <w:tcPr>
            <w:tcW w:w="4680" w:type="dxa"/>
          </w:tcPr>
          <w:p>
            <w:r>
              <w:rPr>
                <w:sz w:val="20"/>
              </w:rPr>
              <w:t xml:space="preserve">Supervision and access</w:t>
            </w:r>
          </w:p>
        </w:tc>
        <w:tc>
          <w:tcPr>
            <w:tcW w:w="4680" w:type="dxa"/>
          </w:tcPr>
          <w:p>
            <w:r>
              <w:rPr>
                <w:sz w:val="20"/>
              </w:rPr>
              <w:t xml:space="preserve">Unsupervised contact, funds, data, driving, none</w:t>
            </w:r>
          </w:p>
        </w:tc>
      </w:tr>
      <w:tr>
        <w:tc>
          <w:tcPr>
            <w:tcW w:w="4680" w:type="dxa"/>
          </w:tcPr>
          <w:p>
            <w:r>
              <w:rPr>
                <w:sz w:val="20"/>
              </w:rPr>
              <w:t xml:space="preserve">Role nexus</w:t>
            </w:r>
          </w:p>
        </w:tc>
        <w:tc>
          <w:tcPr>
            <w:tcW w:w="4680" w:type="dxa"/>
          </w:tcPr>
          <w:p>
            <w:r>
              <w:rPr>
                <w:sz w:val="20"/>
              </w:rPr>
              <w:t xml:space="preserve">One sentence, connecting the conduct to those duties</w:t>
            </w:r>
          </w:p>
        </w:tc>
      </w:tr>
    </w:tbl>
    <w:p>
      <w:r>
        <w:rPr>
          <w:sz w:val="2"/>
        </w:rPr>
        <w:t xml:space="preserve"/>
      </w:r>
    </w:p>
    <w:p>
      <w:pPr>
        <w:pStyle w:val="Heading1"/>
      </w:pPr>
      <w:r>
        <w:t xml:space="preserve">Section 3: the factors</w:t>
      </w:r>
    </w:p>
    <w:p>
      <w:pPr>
        <w:spacing w:after="120"/>
      </w:pPr>
      <w:r>
        <w:t xml:space="preserve">Complete each row with the actual answer. A row left at yes or no without a sentence is not an assessment.</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3120"/>
        <w:gridCol w:w="3120"/>
        <w:gridCol w:w="3120"/>
      </w:tblGrid>
      <w:tr>
        <w:tc>
          <w:tcPr>
            <w:tcW w:w="3120" w:type="dxa"/>
            <w:shd w:val="clear" w:color="auto" w:fill="F2F2F2"/>
          </w:tcPr>
          <w:p>
            <w:r>
              <w:rPr>
                <w:b/>
                <w:sz w:val="20"/>
              </w:rPr>
              <w:t xml:space="preserve">Factor</w:t>
            </w:r>
          </w:p>
        </w:tc>
        <w:tc>
          <w:tcPr>
            <w:tcW w:w="3120" w:type="dxa"/>
            <w:shd w:val="clear" w:color="auto" w:fill="F2F2F2"/>
          </w:tcPr>
          <w:p>
            <w:r>
              <w:rPr>
                <w:b/>
                <w:sz w:val="20"/>
              </w:rPr>
              <w:t xml:space="preserve">Finding</w:t>
            </w:r>
          </w:p>
        </w:tc>
        <w:tc>
          <w:tcPr>
            <w:tcW w:w="3120" w:type="dxa"/>
            <w:shd w:val="clear" w:color="auto" w:fill="F2F2F2"/>
          </w:tcPr>
          <w:p>
            <w:r>
              <w:rPr>
                <w:b/>
                <w:sz w:val="20"/>
              </w:rPr>
              <w:t xml:space="preserve">Reasoning</w:t>
            </w:r>
          </w:p>
        </w:tc>
      </w:tr>
      <w:tr>
        <w:tc>
          <w:tcPr>
            <w:tcW w:w="3120" w:type="dxa"/>
          </w:tcPr>
          <w:p>
            <w:r>
              <w:rPr>
                <w:sz w:val="20"/>
              </w:rPr>
              <w:t xml:space="preserve">Nature and gravity of the offense</w:t>
            </w:r>
          </w:p>
        </w:tc>
        <w:tc>
          <w:tcPr>
            <w:tcW w:w="3120" w:type="dxa"/>
          </w:tcPr>
          <w:p>
            <w:r>
              <w:rPr>
                <w:sz w:val="20"/>
              </w:rPr>
              <w:t xml:space="preserve"/>
            </w:r>
          </w:p>
        </w:tc>
        <w:tc>
          <w:tcPr>
            <w:tcW w:w="3120" w:type="dxa"/>
          </w:tcPr>
          <w:p>
            <w:r>
              <w:rPr>
                <w:sz w:val="20"/>
              </w:rPr>
              <w:t xml:space="preserve"/>
            </w:r>
          </w:p>
        </w:tc>
      </w:tr>
      <w:tr>
        <w:tc>
          <w:tcPr>
            <w:tcW w:w="3120" w:type="dxa"/>
          </w:tcPr>
          <w:p>
            <w:r>
              <w:rPr>
                <w:sz w:val="20"/>
              </w:rPr>
              <w:t xml:space="preserve">Time since the offense</w:t>
            </w:r>
          </w:p>
        </w:tc>
        <w:tc>
          <w:tcPr>
            <w:tcW w:w="3120" w:type="dxa"/>
          </w:tcPr>
          <w:p>
            <w:r>
              <w:rPr>
                <w:sz w:val="20"/>
              </w:rPr>
              <w:t xml:space="preserve"/>
            </w:r>
          </w:p>
        </w:tc>
        <w:tc>
          <w:tcPr>
            <w:tcW w:w="3120" w:type="dxa"/>
          </w:tcPr>
          <w:p>
            <w:r>
              <w:rPr>
                <w:sz w:val="20"/>
              </w:rPr>
              <w:t xml:space="preserve"/>
            </w:r>
          </w:p>
        </w:tc>
      </w:tr>
      <w:tr>
        <w:tc>
          <w:tcPr>
            <w:tcW w:w="3120" w:type="dxa"/>
          </w:tcPr>
          <w:p>
            <w:r>
              <w:rPr>
                <w:sz w:val="20"/>
              </w:rPr>
              <w:t xml:space="preserve">Time since sentence completion</w:t>
            </w:r>
          </w:p>
        </w:tc>
        <w:tc>
          <w:tcPr>
            <w:tcW w:w="3120" w:type="dxa"/>
          </w:tcPr>
          <w:p>
            <w:r>
              <w:rPr>
                <w:sz w:val="20"/>
              </w:rPr>
              <w:t xml:space="preserve"/>
            </w:r>
          </w:p>
        </w:tc>
        <w:tc>
          <w:tcPr>
            <w:tcW w:w="3120" w:type="dxa"/>
          </w:tcPr>
          <w:p>
            <w:r>
              <w:rPr>
                <w:sz w:val="20"/>
              </w:rPr>
              <w:t xml:space="preserve"/>
            </w:r>
          </w:p>
        </w:tc>
      </w:tr>
      <w:tr>
        <w:tc>
          <w:tcPr>
            <w:tcW w:w="3120" w:type="dxa"/>
          </w:tcPr>
          <w:p>
            <w:r>
              <w:rPr>
                <w:sz w:val="20"/>
              </w:rPr>
              <w:t xml:space="preserve">Nature of the position and its duties</w:t>
            </w:r>
          </w:p>
        </w:tc>
        <w:tc>
          <w:tcPr>
            <w:tcW w:w="3120" w:type="dxa"/>
          </w:tcPr>
          <w:p>
            <w:r>
              <w:rPr>
                <w:sz w:val="20"/>
              </w:rPr>
              <w:t xml:space="preserve"/>
            </w:r>
          </w:p>
        </w:tc>
        <w:tc>
          <w:tcPr>
            <w:tcW w:w="3120" w:type="dxa"/>
          </w:tcPr>
          <w:p>
            <w:r>
              <w:rPr>
                <w:sz w:val="20"/>
              </w:rPr>
              <w:t xml:space="preserve"/>
            </w:r>
          </w:p>
        </w:tc>
      </w:tr>
      <w:tr>
        <w:tc>
          <w:tcPr>
            <w:tcW w:w="3120" w:type="dxa"/>
          </w:tcPr>
          <w:p>
            <w:r>
              <w:rPr>
                <w:sz w:val="20"/>
              </w:rPr>
              <w:t xml:space="preserve">Whether the record bears on the specific duties</w:t>
            </w:r>
          </w:p>
        </w:tc>
        <w:tc>
          <w:tcPr>
            <w:tcW w:w="3120" w:type="dxa"/>
          </w:tcPr>
          <w:p>
            <w:r>
              <w:rPr>
                <w:sz w:val="20"/>
              </w:rPr>
              <w:t xml:space="preserve"/>
            </w:r>
          </w:p>
        </w:tc>
        <w:tc>
          <w:tcPr>
            <w:tcW w:w="3120" w:type="dxa"/>
          </w:tcPr>
          <w:p>
            <w:r>
              <w:rPr>
                <w:sz w:val="20"/>
              </w:rPr>
              <w:t xml:space="preserve"/>
            </w:r>
          </w:p>
        </w:tc>
      </w:tr>
      <w:tr>
        <w:tc>
          <w:tcPr>
            <w:tcW w:w="3120" w:type="dxa"/>
          </w:tcPr>
          <w:p>
            <w:r>
              <w:rPr>
                <w:sz w:val="20"/>
              </w:rPr>
              <w:t xml:space="preserve">Any statutory bar on considering this record in this location</w:t>
            </w:r>
          </w:p>
        </w:tc>
        <w:tc>
          <w:tcPr>
            <w:tcW w:w="3120" w:type="dxa"/>
          </w:tcPr>
          <w:p>
            <w:r>
              <w:rPr>
                <w:sz w:val="20"/>
              </w:rPr>
              <w:t xml:space="preserve"/>
            </w:r>
          </w:p>
        </w:tc>
        <w:tc>
          <w:tcPr>
            <w:tcW w:w="3120" w:type="dxa"/>
          </w:tcPr>
          <w:p>
            <w:r>
              <w:rPr>
                <w:sz w:val="20"/>
              </w:rPr>
              <w:t xml:space="preserve"/>
            </w:r>
          </w:p>
        </w:tc>
      </w:tr>
      <w:tr>
        <w:tc>
          <w:tcPr>
            <w:tcW w:w="3120" w:type="dxa"/>
          </w:tcPr>
          <w:p>
            <w:r>
              <w:rPr>
                <w:sz w:val="20"/>
              </w:rPr>
              <w:t xml:space="preserve">Any statutory requirement to consider it</w:t>
            </w:r>
          </w:p>
        </w:tc>
        <w:tc>
          <w:tcPr>
            <w:tcW w:w="3120" w:type="dxa"/>
          </w:tcPr>
          <w:p>
            <w:r>
              <w:rPr>
                <w:sz w:val="20"/>
              </w:rPr>
              <w:t xml:space="preserve"/>
            </w:r>
          </w:p>
        </w:tc>
        <w:tc>
          <w:tcPr>
            <w:tcW w:w="3120" w:type="dxa"/>
          </w:tcPr>
          <w:p>
            <w:r>
              <w:rPr>
                <w:sz w:val="20"/>
              </w:rPr>
              <w:t xml:space="preserve"/>
            </w:r>
          </w:p>
        </w:tc>
      </w:tr>
    </w:tbl>
    <w:p>
      <w:r>
        <w:rPr>
          <w:sz w:val="2"/>
        </w:rPr>
        <w:t xml:space="preserve"/>
      </w:r>
    </w:p>
    <w:p>
      <w:pPr>
        <w:pStyle w:val="Heading1"/>
      </w:pPr>
      <w:r>
        <w:t xml:space="preserve">Section 4: what the applicant provided</w:t>
      </w:r>
    </w:p>
    <w:p>
      <w:pPr>
        <w:spacing w:after="120"/>
      </w:pPr>
      <w:r>
        <w:t xml:space="preserve">Record what the applicant said, in their terms, including anything they provided after the notice. This section is why the sequence has a waiting period in it, and a blank here is a question a claimant will ask.</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4680"/>
        <w:gridCol w:w="4680"/>
      </w:tblGrid>
      <w:tr>
        <w:tc>
          <w:tcPr>
            <w:tcW w:w="4680" w:type="dxa"/>
            <w:shd w:val="clear" w:color="auto" w:fill="F2F2F2"/>
          </w:tcPr>
          <w:p>
            <w:r>
              <w:rPr>
                <w:b/>
                <w:sz w:val="20"/>
              </w:rPr>
              <w:t xml:space="preserve">Field</w:t>
            </w:r>
          </w:p>
        </w:tc>
        <w:tc>
          <w:tcPr>
            <w:tcW w:w="4680" w:type="dxa"/>
            <w:shd w:val="clear" w:color="auto" w:fill="F2F2F2"/>
          </w:tcPr>
          <w:p>
            <w:r>
              <w:rPr>
                <w:b/>
                <w:sz w:val="20"/>
              </w:rPr>
              <w:t xml:space="preserve">Entry</w:t>
            </w:r>
          </w:p>
        </w:tc>
      </w:tr>
      <w:tr>
        <w:tc>
          <w:tcPr>
            <w:tcW w:w="4680" w:type="dxa"/>
          </w:tcPr>
          <w:p>
            <w:r>
              <w:rPr>
                <w:sz w:val="20"/>
              </w:rPr>
              <w:t xml:space="preserve">Information provided</w:t>
            </w:r>
          </w:p>
        </w:tc>
        <w:tc>
          <w:tcPr>
            <w:tcW w:w="4680" w:type="dxa"/>
          </w:tcPr>
          <w:p>
            <w:r>
              <w:rPr>
                <w:sz w:val="20"/>
              </w:rPr>
              <w:t xml:space="preserve">Summarize it. Attach it.</w:t>
            </w:r>
          </w:p>
        </w:tc>
      </w:tr>
      <w:tr>
        <w:tc>
          <w:tcPr>
            <w:tcW w:w="4680" w:type="dxa"/>
          </w:tcPr>
          <w:p>
            <w:r>
              <w:rPr>
                <w:sz w:val="20"/>
              </w:rPr>
              <w:t xml:space="preserve">Accuracy dispute raised</w:t>
            </w:r>
          </w:p>
        </w:tc>
        <w:tc>
          <w:tcPr>
            <w:tcW w:w="4680" w:type="dxa"/>
          </w:tcPr>
          <w:p>
            <w:r>
              <w:rPr>
                <w:sz w:val="20"/>
              </w:rPr>
              <w:t xml:space="preserve">Yes or no, and the outcome</w:t>
            </w:r>
          </w:p>
        </w:tc>
      </w:tr>
      <w:tr>
        <w:tc>
          <w:tcPr>
            <w:tcW w:w="4680" w:type="dxa"/>
          </w:tcPr>
          <w:p>
            <w:r>
              <w:rPr>
                <w:sz w:val="20"/>
              </w:rPr>
              <w:t xml:space="preserve">Rehabilitation or context</w:t>
            </w:r>
          </w:p>
        </w:tc>
        <w:tc>
          <w:tcPr>
            <w:tcW w:w="4680" w:type="dxa"/>
          </w:tcPr>
          <w:p>
            <w:r>
              <w:rPr>
                <w:sz w:val="20"/>
              </w:rPr>
              <w:t xml:space="preserve">Employment since, education, treatment, references, restitution</w:t>
            </w:r>
          </w:p>
        </w:tc>
      </w:tr>
      <w:tr>
        <w:tc>
          <w:tcPr>
            <w:tcW w:w="4680" w:type="dxa"/>
          </w:tcPr>
          <w:p>
            <w:r>
              <w:rPr>
                <w:sz w:val="20"/>
              </w:rPr>
              <w:t xml:space="preserve">What difference it made</w:t>
            </w:r>
          </w:p>
        </w:tc>
        <w:tc>
          <w:tcPr>
            <w:tcW w:w="4680" w:type="dxa"/>
          </w:tcPr>
          <w:p>
            <w:r>
              <w:rPr>
                <w:sz w:val="20"/>
              </w:rPr>
              <w:t xml:space="preserve">Answer this. If it made none, say so and say why.</w:t>
            </w:r>
          </w:p>
        </w:tc>
      </w:tr>
    </w:tbl>
    <w:p>
      <w:r>
        <w:rPr>
          <w:sz w:val="2"/>
        </w:rPr>
        <w:t xml:space="preserve"/>
      </w:r>
    </w:p>
    <w:p>
      <w:pPr>
        <w:pStyle w:val="Heading1"/>
      </w:pPr>
      <w:r>
        <w:t xml:space="preserve">Section 5: the reasoning</w:t>
      </w:r>
    </w:p>
    <w:p>
      <w:pPr>
        <w:spacing w:after="120"/>
      </w:pPr>
      <w:r>
        <w:t xml:space="preserve">State the conclusion and the reasons for it in sentences a reader who was not involved can follow. Address the factors above, address what the applicant provided, and reach a decision that could have gone the other way. A reviewer who cannot write this paragraph has not made an individualized assessment, and the honest response is to send the file to someone who can.</w:t>
      </w:r>
    </w:p>
    <w:p>
      <w:pPr>
        <w:spacing w:after="120"/>
      </w:pPr>
      <w:r>
        <w:t xml:space="preserve">[Reasoning]</w:t>
      </w:r>
    </w:p>
    <w:p>
      <w:pPr>
        <w:pStyle w:val="Heading1"/>
      </w:pPr>
      <w:r>
        <w:t xml:space="preserve">Section 6: decision and sign-off</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4680"/>
        <w:gridCol w:w="4680"/>
      </w:tblGrid>
      <w:tr>
        <w:tc>
          <w:tcPr>
            <w:tcW w:w="4680" w:type="dxa"/>
            <w:shd w:val="clear" w:color="auto" w:fill="F2F2F2"/>
          </w:tcPr>
          <w:p>
            <w:r>
              <w:rPr>
                <w:b/>
                <w:sz w:val="20"/>
              </w:rPr>
              <w:t xml:space="preserve">Field</w:t>
            </w:r>
          </w:p>
        </w:tc>
        <w:tc>
          <w:tcPr>
            <w:tcW w:w="4680" w:type="dxa"/>
            <w:shd w:val="clear" w:color="auto" w:fill="F2F2F2"/>
          </w:tcPr>
          <w:p>
            <w:r>
              <w:rPr>
                <w:b/>
                <w:sz w:val="20"/>
              </w:rPr>
              <w:t xml:space="preserve">Entry</w:t>
            </w:r>
          </w:p>
        </w:tc>
      </w:tr>
      <w:tr>
        <w:tc>
          <w:tcPr>
            <w:tcW w:w="4680" w:type="dxa"/>
          </w:tcPr>
          <w:p>
            <w:r>
              <w:rPr>
                <w:sz w:val="20"/>
              </w:rPr>
              <w:t xml:space="preserve">Decision</w:t>
            </w:r>
          </w:p>
        </w:tc>
        <w:tc>
          <w:tcPr>
            <w:tcW w:w="4680" w:type="dxa"/>
          </w:tcPr>
          <w:p>
            <w:r>
              <w:rPr>
                <w:sz w:val="20"/>
              </w:rPr>
              <w:t xml:space="preserve">Proceed, proceed with conditions, or withdraw the offer</w:t>
            </w:r>
          </w:p>
        </w:tc>
      </w:tr>
      <w:tr>
        <w:tc>
          <w:tcPr>
            <w:tcW w:w="4680" w:type="dxa"/>
          </w:tcPr>
          <w:p>
            <w:r>
              <w:rPr>
                <w:sz w:val="20"/>
              </w:rPr>
              <w:t xml:space="preserve">Conditions, if any</w:t>
            </w:r>
          </w:p>
        </w:tc>
        <w:tc>
          <w:tcPr>
            <w:tcW w:w="4680" w:type="dxa"/>
          </w:tcPr>
          <w:p>
            <w:r>
              <w:rPr>
                <w:sz w:val="20"/>
              </w:rPr>
              <w:t xml:space="preserve">E.g. a re-check at 12 months, a restriction on duties</w:t>
            </w:r>
          </w:p>
        </w:tc>
      </w:tr>
      <w:tr>
        <w:tc>
          <w:tcPr>
            <w:tcW w:w="4680" w:type="dxa"/>
          </w:tcPr>
          <w:p>
            <w:r>
              <w:rPr>
                <w:sz w:val="20"/>
              </w:rPr>
              <w:t xml:space="preserve">Reviewer</w:t>
            </w:r>
          </w:p>
        </w:tc>
        <w:tc>
          <w:tcPr>
            <w:tcW w:w="4680" w:type="dxa"/>
          </w:tcPr>
          <w:p>
            <w:r>
              <w:rPr>
                <w:sz w:val="20"/>
              </w:rPr>
              <w:t xml:space="preserve">Name and role</w:t>
            </w:r>
          </w:p>
        </w:tc>
      </w:tr>
      <w:tr>
        <w:tc>
          <w:tcPr>
            <w:tcW w:w="4680" w:type="dxa"/>
          </w:tcPr>
          <w:p>
            <w:r>
              <w:rPr>
                <w:sz w:val="20"/>
              </w:rPr>
              <w:t xml:space="preserve">Date</w:t>
            </w:r>
          </w:p>
        </w:tc>
        <w:tc>
          <w:tcPr>
            <w:tcW w:w="4680" w:type="dxa"/>
          </w:tcPr>
          <w:p>
            <w:r>
              <w:rPr>
                <w:sz w:val="20"/>
              </w:rPr>
              <w:t xml:space="preserve"> </w:t>
            </w:r>
          </w:p>
        </w:tc>
      </w:tr>
      <w:tr>
        <w:tc>
          <w:tcPr>
            <w:tcW w:w="4680" w:type="dxa"/>
          </w:tcPr>
          <w:p>
            <w:r>
              <w:rPr>
                <w:sz w:val="20"/>
              </w:rPr>
              <w:t xml:space="preserve">Second reviewer, where required</w:t>
            </w:r>
          </w:p>
        </w:tc>
        <w:tc>
          <w:tcPr>
            <w:tcW w:w="4680" w:type="dxa"/>
          </w:tcPr>
          <w:p>
            <w:r>
              <w:rPr>
                <w:sz w:val="20"/>
              </w:rPr>
              <w:t xml:space="preserve">Name, role and date</w:t>
            </w:r>
          </w:p>
        </w:tc>
      </w:tr>
      <w:tr>
        <w:tc>
          <w:tcPr>
            <w:tcW w:w="4680" w:type="dxa"/>
          </w:tcPr>
          <w:p>
            <w:r>
              <w:rPr>
                <w:sz w:val="20"/>
              </w:rPr>
              <w:t xml:space="preserve">Date notice sequence began</w:t>
            </w:r>
          </w:p>
        </w:tc>
        <w:tc>
          <w:tcPr>
            <w:tcW w:w="4680" w:type="dxa"/>
          </w:tcPr>
          <w:p>
            <w:r>
              <w:rPr>
                <w:sz w:val="20"/>
              </w:rPr>
              <w:t xml:space="preserve"> </w:t>
            </w:r>
          </w:p>
        </w:tc>
      </w:tr>
    </w:tbl>
    <w:p>
      <w:r>
        <w:rPr>
          <w:sz w:val="2"/>
        </w:rPr>
        <w:t xml:space="preserve"/>
      </w:r>
    </w:p>
    <w:p>
      <w:pPr>
        <w:pBdr>
          <w:left w:val="single" w:sz="18" w:space="8" w:color="0F766E"/>
        </w:pBdr>
        <w:shd w:val="clear" w:color="auto" w:fill="F7F7F5"/>
        <w:spacing w:before="120" w:after="180"/>
        <w:ind w:left="240"/>
      </w:pPr>
      <w:r>
        <w:rPr>
          <w:i/>
        </w:rPr>
        <w:t xml:space="preserve">Attach the assessment to the notice that goes to the applicant where the location requires it, and keep the signed copy with the requisition file. Retain according to the retention schedule.</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76" w:lineRule="auto"/>
      </w:pPr>
    </w:pPrDefault>
  </w:docDefaults>
  <w:style w:type="paragraph" w:default="1" w:styleId="Normal">
    <w:name w:val="Normal"/>
    <w:qFormat/>
  </w:style>
  <w:style w:type="paragraph" w:styleId="Title">
    <w:name w:val="Title"/>
    <w:basedOn w:val="Normal"/>
    <w:qFormat/>
    <w:pPr>
      <w:spacing w:before="0" w:after="80"/>
    </w:pPr>
    <w:rPr>
      <w:b/>
      <w:sz w:val="40"/>
      <w:szCs w:val="40"/>
      <w:color w:val="111827"/>
    </w:rPr>
  </w:style>
  <w:style w:type="paragraph" w:styleId="Heading1">
    <w:name w:val="heading 1"/>
    <w:basedOn w:val="Normal"/>
    <w:qFormat/>
    <w:pPr>
      <w:keepNext/>
      <w:spacing w:before="320" w:after="120"/>
      <w:outlineLvl w:val="0"/>
    </w:pPr>
    <w:rPr>
      <w:b/>
      <w:sz w:val="28"/>
      <w:szCs w:val="28"/>
      <w:color w:val="0F172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Individualized assessment worksheet</dc:title>
  <dc:creator>Personnelgraph</dc:creator>
  <cp:lastModifiedBy>Personnelgraph</cp:lastModifiedBy>
</cp:coreProperties>
</file>