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Adjudication matrix</w:t>
      </w:r>
    </w:p>
    <w:p>
      <w:pPr>
        <w:spacing w:after="240"/>
      </w:pPr>
      <w:r>
        <w:rPr>
          <w:i/>
        </w:rPr>
        <w:t xml:space="preserve">A triage grid for criminal record results. It sorts records into clearly relevant, clearly irrelevant and requiring assessment, so that reviewer time goes where judgment is actually needed.</w:t>
      </w:r>
    </w:p>
    <w:p>
      <w:pPr>
        <w:pStyle w:val="Heading1"/>
      </w:pPr>
      <w:r>
        <w:t xml:space="preserve">How to use this matrix</w:t>
      </w:r>
    </w:p>
    <w:p>
      <w:pPr>
        <w:spacing w:after="120"/>
      </w:pPr>
      <w:r>
        <w:t xml:space="preserve">The matrix answers one question: does this record need an individualized assessment before we can decide? It does not answer whether the applicant gets the job.</w:t>
      </w:r>
    </w:p>
    <w:p>
      <w:pPr>
        <w:pBdr>
          <w:left w:val="single" w:sz="18" w:space="8" w:color="0F766E"/>
        </w:pBdr>
        <w:shd w:val="clear" w:color="auto" w:fill="F7F7F5"/>
        <w:spacing w:before="120" w:after="180"/>
        <w:ind w:left="240"/>
      </w:pPr>
      <w:r>
        <w:rPr>
          <w:i/>
        </w:rPr>
        <w:t xml:space="preserve">A matrix that decides outcomes is the single most reliable way to lose an individualized assessment argument. The more complete the grid, the stronger the argument that the assessment was a formality. Keep this document as triage and put the decision in the worksheet.</w:t>
      </w:r>
    </w:p>
    <w:p>
      <w:pPr>
        <w:pStyle w:val="Heading1"/>
      </w:pPr>
      <w:r>
        <w:t xml:space="preserve">Step 1: what the record actually is</w:t>
      </w:r>
    </w:p>
    <w:p>
      <w:pPr>
        <w:spacing w:after="120"/>
      </w:pPr>
      <w:r>
        <w:t xml:space="preserve">Take the category from the verified record, not from the applicant's description and not from a summary in the report. An arrest with no conviction is not a conviction, and a deferred adjudication that was successfully completed is not a conviction in most jurisdictions. Where the disposition is unclear, the record goes to assessment rather than to a band.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Category</w:t>
            </w:r>
          </w:p>
        </w:tc>
        <w:tc>
          <w:tcPr>
            <w:tcW w:w="3120" w:type="dxa"/>
            <w:shd w:val="clear" w:color="auto" w:fill="F2F2F2"/>
          </w:tcPr>
          <w:p>
            <w:r>
              <w:rPr>
                <w:b/>
                <w:sz w:val="20"/>
              </w:rPr>
              <w:t xml:space="preserve">Definition</w:t>
            </w:r>
          </w:p>
        </w:tc>
        <w:tc>
          <w:tcPr>
            <w:tcW w:w="3120" w:type="dxa"/>
            <w:shd w:val="clear" w:color="auto" w:fill="F2F2F2"/>
          </w:tcPr>
          <w:p>
            <w:r>
              <w:rPr>
                <w:b/>
                <w:sz w:val="20"/>
              </w:rPr>
              <w:t xml:space="preserve">Default band</w:t>
            </w:r>
          </w:p>
        </w:tc>
      </w:tr>
      <w:tr>
        <w:tc>
          <w:tcPr>
            <w:tcW w:w="3120" w:type="dxa"/>
          </w:tcPr>
          <w:p>
            <w:r>
              <w:rPr>
                <w:sz w:val="20"/>
              </w:rPr>
              <w:t xml:space="preserve">Pending charge</w:t>
            </w:r>
          </w:p>
        </w:tc>
        <w:tc>
          <w:tcPr>
            <w:tcW w:w="3120" w:type="dxa"/>
          </w:tcPr>
          <w:p>
            <w:r>
              <w:rPr>
                <w:sz w:val="20"/>
              </w:rPr>
              <w:t xml:space="preserve">Filed, not yet resolved</w:t>
            </w:r>
          </w:p>
        </w:tc>
        <w:tc>
          <w:tcPr>
            <w:tcW w:w="3120" w:type="dxa"/>
          </w:tcPr>
          <w:p>
            <w:r>
              <w:rPr>
                <w:sz w:val="20"/>
              </w:rPr>
              <w:t xml:space="preserve">Assess. Never dispose of it as a conviction.</w:t>
            </w:r>
          </w:p>
        </w:tc>
      </w:tr>
      <w:tr>
        <w:tc>
          <w:tcPr>
            <w:tcW w:w="3120" w:type="dxa"/>
          </w:tcPr>
          <w:p>
            <w:r>
              <w:rPr>
                <w:sz w:val="20"/>
              </w:rPr>
              <w:t xml:space="preserve">Arrest, no conviction</w:t>
            </w:r>
          </w:p>
        </w:tc>
        <w:tc>
          <w:tcPr>
            <w:tcW w:w="3120" w:type="dxa"/>
          </w:tcPr>
          <w:p>
            <w:r>
              <w:rPr>
                <w:sz w:val="20"/>
              </w:rPr>
              <w:t xml:space="preserve">Arrested, no conviction entered</w:t>
            </w:r>
          </w:p>
        </w:tc>
        <w:tc>
          <w:tcPr>
            <w:tcW w:w="3120" w:type="dxa"/>
          </w:tcPr>
          <w:p>
            <w:r>
              <w:rPr>
                <w:sz w:val="20"/>
              </w:rPr>
              <w:t xml:space="preserve">Assess, and confirm the location permits reliance at all.</w:t>
            </w:r>
          </w:p>
        </w:tc>
      </w:tr>
      <w:tr>
        <w:tc>
          <w:tcPr>
            <w:tcW w:w="3120" w:type="dxa"/>
          </w:tcPr>
          <w:p>
            <w:r>
              <w:rPr>
                <w:sz w:val="20"/>
              </w:rPr>
              <w:t xml:space="preserve">Non-conviction disposition</w:t>
            </w:r>
          </w:p>
        </w:tc>
        <w:tc>
          <w:tcPr>
            <w:tcW w:w="3120" w:type="dxa"/>
          </w:tcPr>
          <w:p>
            <w:r>
              <w:rPr>
                <w:sz w:val="20"/>
              </w:rPr>
              <w:t xml:space="preserve">Dismissed, acquitted, nolle prosequi, deferred and completed</w:t>
            </w:r>
          </w:p>
        </w:tc>
        <w:tc>
          <w:tcPr>
            <w:tcW w:w="3120" w:type="dxa"/>
          </w:tcPr>
          <w:p>
            <w:r>
              <w:rPr>
                <w:sz w:val="20"/>
              </w:rPr>
              <w:t xml:space="preserve">Exclude. Confirm the state rule, since several bar reporting outright.</w:t>
            </w:r>
          </w:p>
        </w:tc>
      </w:tr>
      <w:tr>
        <w:tc>
          <w:tcPr>
            <w:tcW w:w="3120" w:type="dxa"/>
          </w:tcPr>
          <w:p>
            <w:r>
              <w:rPr>
                <w:sz w:val="20"/>
              </w:rPr>
              <w:t xml:space="preserve">Misdemeanor conviction</w:t>
            </w:r>
          </w:p>
        </w:tc>
        <w:tc>
          <w:tcPr>
            <w:tcW w:w="3120" w:type="dxa"/>
          </w:tcPr>
          <w:p>
            <w:r>
              <w:rPr>
                <w:sz w:val="20"/>
              </w:rPr>
              <w:t xml:space="preserve">Conviction for a misdemeanor offense</w:t>
            </w:r>
          </w:p>
        </w:tc>
        <w:tc>
          <w:tcPr>
            <w:tcW w:w="3120" w:type="dxa"/>
          </w:tcPr>
          <w:p>
            <w:r>
              <w:rPr>
                <w:sz w:val="20"/>
              </w:rPr>
              <w:t xml:space="preserve">Assess against the matrix.</w:t>
            </w:r>
          </w:p>
        </w:tc>
      </w:tr>
      <w:tr>
        <w:tc>
          <w:tcPr>
            <w:tcW w:w="3120" w:type="dxa"/>
          </w:tcPr>
          <w:p>
            <w:r>
              <w:rPr>
                <w:sz w:val="20"/>
              </w:rPr>
              <w:t xml:space="preserve">Felony conviction</w:t>
            </w:r>
          </w:p>
        </w:tc>
        <w:tc>
          <w:tcPr>
            <w:tcW w:w="3120" w:type="dxa"/>
          </w:tcPr>
          <w:p>
            <w:r>
              <w:rPr>
                <w:sz w:val="20"/>
              </w:rPr>
              <w:t xml:space="preserve">Conviction for a felony offense</w:t>
            </w:r>
          </w:p>
        </w:tc>
        <w:tc>
          <w:tcPr>
            <w:tcW w:w="3120" w:type="dxa"/>
          </w:tcPr>
          <w:p>
            <w:r>
              <w:rPr>
                <w:sz w:val="20"/>
              </w:rPr>
              <w:t xml:space="preserve">Assess against the matrix.</w:t>
            </w:r>
          </w:p>
        </w:tc>
      </w:tr>
      <w:tr>
        <w:tc>
          <w:tcPr>
            <w:tcW w:w="3120" w:type="dxa"/>
          </w:tcPr>
          <w:p>
            <w:r>
              <w:rPr>
                <w:sz w:val="20"/>
              </w:rPr>
              <w:t xml:space="preserve">Traffic offense</w:t>
            </w:r>
          </w:p>
        </w:tc>
        <w:tc>
          <w:tcPr>
            <w:tcW w:w="3120" w:type="dxa"/>
          </w:tcPr>
          <w:p>
            <w:r>
              <w:rPr>
                <w:sz w:val="20"/>
              </w:rPr>
              <w:t xml:space="preserve">Non-criminal traffic matter</w:t>
            </w:r>
          </w:p>
        </w:tc>
        <w:tc>
          <w:tcPr>
            <w:tcW w:w="3120" w:type="dxa"/>
          </w:tcPr>
          <w:p>
            <w:r>
              <w:rPr>
                <w:sz w:val="20"/>
              </w:rPr>
              <w:t xml:space="preserve">Exclude unless the role involves driving.</w:t>
            </w:r>
          </w:p>
        </w:tc>
      </w:tr>
    </w:tbl>
    <w:p>
      <w:r>
        <w:rPr>
          <w:sz w:val="2"/>
        </w:rPr>
        <w:t xml:space="preserve"/>
      </w:r>
    </w:p>
    <w:p>
      <w:pPr>
        <w:pStyle w:val="Heading1"/>
      </w:pPr>
      <w:r>
        <w:t xml:space="preserve">Step 2: role sensitivity</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Level</w:t>
            </w:r>
          </w:p>
        </w:tc>
        <w:tc>
          <w:tcPr>
            <w:tcW w:w="3120" w:type="dxa"/>
            <w:shd w:val="clear" w:color="auto" w:fill="F2F2F2"/>
          </w:tcPr>
          <w:p>
            <w:r>
              <w:rPr>
                <w:b/>
                <w:sz w:val="20"/>
              </w:rPr>
              <w:t xml:space="preserve">Applies to</w:t>
            </w:r>
          </w:p>
        </w:tc>
        <w:tc>
          <w:tcPr>
            <w:tcW w:w="3120" w:type="dxa"/>
            <w:shd w:val="clear" w:color="auto" w:fill="F2F2F2"/>
          </w:tcPr>
          <w:p>
            <w:r>
              <w:rPr>
                <w:b/>
                <w:sz w:val="20"/>
              </w:rPr>
              <w:t xml:space="preserve">Effect</w:t>
            </w:r>
          </w:p>
        </w:tc>
      </w:tr>
      <w:tr>
        <w:tc>
          <w:tcPr>
            <w:tcW w:w="3120" w:type="dxa"/>
          </w:tcPr>
          <w:p>
            <w:r>
              <w:rPr>
                <w:sz w:val="20"/>
              </w:rPr>
              <w:t xml:space="preserve">High</w:t>
            </w:r>
          </w:p>
        </w:tc>
        <w:tc>
          <w:tcPr>
            <w:tcW w:w="3120" w:type="dxa"/>
          </w:tcPr>
          <w:p>
            <w:r>
              <w:rPr>
                <w:sz w:val="20"/>
              </w:rPr>
              <w:t xml:space="preserve">Roles with unsupervised access to children or vulnerable adults, roles with signing authority over company funds, roles with unescorted access to controlled substances or firearms</w:t>
            </w:r>
          </w:p>
        </w:tc>
        <w:tc>
          <w:tcPr>
            <w:tcW w:w="3120" w:type="dxa"/>
          </w:tcPr>
          <w:p>
            <w:r>
              <w:rPr>
                <w:sz w:val="20"/>
              </w:rPr>
              <w:t xml:space="preserve">Wider set of records is relevant; still assessed individually.</w:t>
            </w:r>
          </w:p>
        </w:tc>
      </w:tr>
      <w:tr>
        <w:tc>
          <w:tcPr>
            <w:tcW w:w="3120" w:type="dxa"/>
          </w:tcPr>
          <w:p>
            <w:r>
              <w:rPr>
                <w:sz w:val="20"/>
              </w:rPr>
              <w:t xml:space="preserve">Medium</w:t>
            </w:r>
          </w:p>
        </w:tc>
        <w:tc>
          <w:tcPr>
            <w:tcW w:w="3120" w:type="dxa"/>
          </w:tcPr>
          <w:p>
            <w:r>
              <w:rPr>
                <w:sz w:val="20"/>
              </w:rPr>
              <w:t xml:space="preserve">Roles with customer funds handling, roles with access to personal data at scale, roles with driving duties</w:t>
            </w:r>
          </w:p>
        </w:tc>
        <w:tc>
          <w:tcPr>
            <w:tcW w:w="3120" w:type="dxa"/>
          </w:tcPr>
          <w:p>
            <w:r>
              <w:rPr>
                <w:sz w:val="20"/>
              </w:rPr>
              <w:t xml:space="preserve">Standard set.</w:t>
            </w:r>
          </w:p>
        </w:tc>
      </w:tr>
      <w:tr>
        <w:tc>
          <w:tcPr>
            <w:tcW w:w="3120" w:type="dxa"/>
          </w:tcPr>
          <w:p>
            <w:r>
              <w:rPr>
                <w:sz w:val="20"/>
              </w:rPr>
              <w:t xml:space="preserve">Low</w:t>
            </w:r>
          </w:p>
        </w:tc>
        <w:tc>
          <w:tcPr>
            <w:tcW w:w="3120" w:type="dxa"/>
          </w:tcPr>
          <w:p>
            <w:r>
              <w:rPr>
                <w:sz w:val="20"/>
              </w:rPr>
              <w:t xml:space="preserve">Roles with no funds, no vulnerable persons, no driving and no sensitive data</w:t>
            </w:r>
          </w:p>
        </w:tc>
        <w:tc>
          <w:tcPr>
            <w:tcW w:w="3120" w:type="dxa"/>
          </w:tcPr>
          <w:p>
            <w:r>
              <w:rPr>
                <w:sz w:val="20"/>
              </w:rPr>
              <w:t xml:space="preserve">Narrow set. Most non-violent, non-fraud records fall outside it.</w:t>
            </w:r>
          </w:p>
        </w:tc>
      </w:tr>
    </w:tbl>
    <w:p>
      <w:r>
        <w:rPr>
          <w:sz w:val="2"/>
        </w:rPr>
        <w:t xml:space="preserve"/>
      </w:r>
    </w:p>
    <w:p>
      <w:pPr>
        <w:pStyle w:val="Heading1"/>
      </w:pPr>
      <w:r>
        <w:t xml:space="preserve">Step 3: time elapsed</w:t>
      </w:r>
    </w:p>
    <w:p>
      <w:pPr>
        <w:spacing w:after="120"/>
      </w:pPr>
      <w:r>
        <w:t xml:space="preserve">Time is measured from the later of the date of the offense and the date the sentence was completed, including any period of supervision. A record within a supervision period is not complete, and the completion date is not yet known.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Time band</w:t>
            </w:r>
          </w:p>
        </w:tc>
        <w:tc>
          <w:tcPr>
            <w:tcW w:w="3120" w:type="dxa"/>
            <w:shd w:val="clear" w:color="auto" w:fill="F2F2F2"/>
          </w:tcPr>
          <w:p>
            <w:r>
              <w:rPr>
                <w:b/>
                <w:sz w:val="20"/>
              </w:rPr>
              <w:t xml:space="preserve">Measured from</w:t>
            </w:r>
          </w:p>
        </w:tc>
        <w:tc>
          <w:tcPr>
            <w:tcW w:w="3120" w:type="dxa"/>
            <w:shd w:val="clear" w:color="auto" w:fill="F2F2F2"/>
          </w:tcPr>
          <w:p>
            <w:r>
              <w:rPr>
                <w:b/>
                <w:sz w:val="20"/>
              </w:rPr>
              <w:t xml:space="preserve">Effect</w:t>
            </w:r>
          </w:p>
        </w:tc>
      </w:tr>
      <w:tr>
        <w:tc>
          <w:tcPr>
            <w:tcW w:w="3120" w:type="dxa"/>
          </w:tcPr>
          <w:p>
            <w:r>
              <w:rPr>
                <w:sz w:val="20"/>
              </w:rPr>
              <w:t xml:space="preserve">Under 2 years</w:t>
            </w:r>
          </w:p>
        </w:tc>
        <w:tc>
          <w:tcPr>
            <w:tcW w:w="3120" w:type="dxa"/>
          </w:tcPr>
          <w:p>
            <w:r>
              <w:rPr>
                <w:sz w:val="20"/>
              </w:rPr>
              <w:t xml:space="preserve">Sentence completion</w:t>
            </w:r>
          </w:p>
        </w:tc>
        <w:tc>
          <w:tcPr>
            <w:tcW w:w="3120" w:type="dxa"/>
          </w:tcPr>
          <w:p>
            <w:r>
              <w:rPr>
                <w:sz w:val="20"/>
              </w:rPr>
              <w:t xml:space="preserve">Assess, and record the reasoning in full.</w:t>
            </w:r>
          </w:p>
        </w:tc>
      </w:tr>
      <w:tr>
        <w:tc>
          <w:tcPr>
            <w:tcW w:w="3120" w:type="dxa"/>
          </w:tcPr>
          <w:p>
            <w:r>
              <w:rPr>
                <w:sz w:val="20"/>
              </w:rPr>
              <w:t xml:space="preserve">2 to 7 years</w:t>
            </w:r>
          </w:p>
        </w:tc>
        <w:tc>
          <w:tcPr>
            <w:tcW w:w="3120" w:type="dxa"/>
          </w:tcPr>
          <w:p>
            <w:r>
              <w:rPr>
                <w:sz w:val="20"/>
              </w:rPr>
              <w:t xml:space="preserve">Sentence completion</w:t>
            </w:r>
          </w:p>
        </w:tc>
        <w:tc>
          <w:tcPr>
            <w:tcW w:w="3120" w:type="dxa"/>
          </w:tcPr>
          <w:p>
            <w:r>
              <w:rPr>
                <w:sz w:val="20"/>
              </w:rPr>
              <w:t xml:space="preserve">Assess against the matrix.</w:t>
            </w:r>
          </w:p>
        </w:tc>
      </w:tr>
      <w:tr>
        <w:tc>
          <w:tcPr>
            <w:tcW w:w="3120" w:type="dxa"/>
          </w:tcPr>
          <w:p>
            <w:r>
              <w:rPr>
                <w:sz w:val="20"/>
              </w:rPr>
              <w:t xml:space="preserve">Over 7 years</w:t>
            </w:r>
          </w:p>
        </w:tc>
        <w:tc>
          <w:tcPr>
            <w:tcW w:w="3120" w:type="dxa"/>
          </w:tcPr>
          <w:p>
            <w:r>
              <w:rPr>
                <w:sz w:val="20"/>
              </w:rPr>
              <w:t xml:space="preserve">Sentence completion</w:t>
            </w:r>
          </w:p>
        </w:tc>
        <w:tc>
          <w:tcPr>
            <w:tcW w:w="3120" w:type="dxa"/>
          </w:tcPr>
          <w:p>
            <w:r>
              <w:rPr>
                <w:sz w:val="20"/>
              </w:rPr>
              <w:t xml:space="preserve">Assess for relevance to the duties. Note that the seven year limit in the statute does not apply to convictions, so an old conviction may lawfully appear and still be irrelevant.</w:t>
            </w:r>
          </w:p>
        </w:tc>
      </w:tr>
    </w:tbl>
    <w:p>
      <w:r>
        <w:rPr>
          <w:sz w:val="2"/>
        </w:rPr>
        <w:t xml:space="preserve"/>
      </w:r>
    </w:p>
    <w:p>
      <w:pPr>
        <w:pStyle w:val="Heading1"/>
      </w:pPr>
      <w:r>
        <w:t xml:space="preserve">Step 4: the matrix</w:t>
      </w:r>
    </w:p>
    <w:p>
      <w:pPr>
        <w:spacing w:after="120"/>
      </w:pPr>
      <w:r>
        <w:t xml:space="preserve">Each cell states the default treatment. Where a cell says assess, the reviewer completes the worksheet and the outcome is genuinely open. Where a cell says exclude, the record is not relied on, and the reason is recorded.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340"/>
        <w:gridCol w:w="2340"/>
        <w:gridCol w:w="2340"/>
        <w:gridCol w:w="2340"/>
      </w:tblGrid>
      <w:tr>
        <w:tc>
          <w:tcPr>
            <w:tcW w:w="2340" w:type="dxa"/>
            <w:shd w:val="clear" w:color="auto" w:fill="F2F2F2"/>
          </w:tcPr>
          <w:p>
            <w:r>
              <w:rPr>
                <w:b/>
                <w:sz w:val="20"/>
              </w:rPr>
              <w:t xml:space="preserve">Record category</w:t>
            </w:r>
          </w:p>
        </w:tc>
        <w:tc>
          <w:tcPr>
            <w:tcW w:w="2340" w:type="dxa"/>
            <w:shd w:val="clear" w:color="auto" w:fill="F2F2F2"/>
          </w:tcPr>
          <w:p>
            <w:r>
              <w:rPr>
                <w:b/>
                <w:sz w:val="20"/>
              </w:rPr>
              <w:t xml:space="preserve">High sensitivity</w:t>
            </w:r>
          </w:p>
        </w:tc>
        <w:tc>
          <w:tcPr>
            <w:tcW w:w="2340" w:type="dxa"/>
            <w:shd w:val="clear" w:color="auto" w:fill="F2F2F2"/>
          </w:tcPr>
          <w:p>
            <w:r>
              <w:rPr>
                <w:b/>
                <w:sz w:val="20"/>
              </w:rPr>
              <w:t xml:space="preserve">Medium</w:t>
            </w:r>
          </w:p>
        </w:tc>
        <w:tc>
          <w:tcPr>
            <w:tcW w:w="2340" w:type="dxa"/>
            <w:shd w:val="clear" w:color="auto" w:fill="F2F2F2"/>
          </w:tcPr>
          <w:p>
            <w:r>
              <w:rPr>
                <w:b/>
                <w:sz w:val="20"/>
              </w:rPr>
              <w:t xml:space="preserve">Low</w:t>
            </w:r>
          </w:p>
        </w:tc>
      </w:tr>
      <w:tr>
        <w:tc>
          <w:tcPr>
            <w:tcW w:w="2340" w:type="dxa"/>
          </w:tcPr>
          <w:p>
            <w:r>
              <w:rPr>
                <w:sz w:val="20"/>
              </w:rPr>
              <w:t xml:space="preserve">Pending charge, directly related to the duties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Pending charge, unrelated</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Violent offense, under 7 years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Violent offense, over 7 years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Theft or fraud, under 7 years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Theft or fraud, over 7 years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Driving offense, role involves driving</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Driving offense, role does not involve driving</w:t>
            </w:r>
          </w:p>
        </w:tc>
        <w:tc>
          <w:tcPr>
            <w:tcW w:w="2340" w:type="dxa"/>
          </w:tcPr>
          <w:p>
            <w:r>
              <w:rPr>
                <w:sz w:val="20"/>
              </w:rPr>
              <w:t xml:space="preserve">Assess</w:t>
            </w:r>
          </w:p>
        </w:tc>
        <w:tc>
          <w:tcPr>
            <w:tcW w:w="2340" w:type="dxa"/>
          </w:tcPr>
          <w:p>
            <w:r>
              <w:rPr>
                <w:sz w:val="20"/>
              </w:rPr>
              <w:t xml:space="preserve">Exclude</w:t>
            </w:r>
          </w:p>
        </w:tc>
        <w:tc>
          <w:tcPr>
            <w:tcW w:w="2340" w:type="dxa"/>
          </w:tcPr>
          <w:p>
            <w:r>
              <w:rPr>
                <w:sz w:val="20"/>
              </w:rPr>
              <w:t xml:space="preserve">Exclude</w:t>
            </w:r>
          </w:p>
        </w:tc>
      </w:tr>
      <w:tr>
        <w:tc>
          <w:tcPr>
            <w:tcW w:w="2340" w:type="dxa"/>
          </w:tcPr>
          <w:p>
            <w:r>
              <w:rPr>
                <w:sz w:val="20"/>
              </w:rPr>
              <w:t xml:space="preserve">Drug offense, under 2 years</w:t>
            </w:r>
          </w:p>
        </w:tc>
        <w:tc>
          <w:tcPr>
            <w:tcW w:w="2340" w:type="dxa"/>
          </w:tcPr>
          <w:p>
            <w:r>
              <w:rPr>
                <w:sz w:val="20"/>
              </w:rPr>
              <w:t xml:space="preserve">Assess</w:t>
            </w:r>
          </w:p>
        </w:tc>
        <w:tc>
          <w:tcPr>
            <w:tcW w:w="2340" w:type="dxa"/>
          </w:tcPr>
          <w:p>
            <w:r>
              <w:rPr>
                <w:sz w:val="20"/>
              </w:rPr>
              <w:t xml:space="preserve">Assess</w:t>
            </w:r>
          </w:p>
        </w:tc>
        <w:tc>
          <w:tcPr>
            <w:tcW w:w="2340" w:type="dxa"/>
          </w:tcPr>
          <w:p>
            <w:r>
              <w:rPr>
                <w:sz w:val="20"/>
              </w:rPr>
              <w:t xml:space="preserve">Assess</w:t>
            </w:r>
          </w:p>
        </w:tc>
      </w:tr>
      <w:tr>
        <w:tc>
          <w:tcPr>
            <w:tcW w:w="2340" w:type="dxa"/>
          </w:tcPr>
          <w:p>
            <w:r>
              <w:rPr>
                <w:sz w:val="20"/>
              </w:rPr>
              <w:t xml:space="preserve">Drug offense, over 7 years, no role nexus</w:t>
            </w:r>
          </w:p>
        </w:tc>
        <w:tc>
          <w:tcPr>
            <w:tcW w:w="2340" w:type="dxa"/>
          </w:tcPr>
          <w:p>
            <w:r>
              <w:rPr>
                <w:sz w:val="20"/>
              </w:rPr>
              <w:t xml:space="preserve">Assess</w:t>
            </w:r>
          </w:p>
        </w:tc>
        <w:tc>
          <w:tcPr>
            <w:tcW w:w="2340" w:type="dxa"/>
          </w:tcPr>
          <w:p>
            <w:r>
              <w:rPr>
                <w:sz w:val="20"/>
              </w:rPr>
              <w:t xml:space="preserve">Exclude</w:t>
            </w:r>
          </w:p>
        </w:tc>
        <w:tc>
          <w:tcPr>
            <w:tcW w:w="2340" w:type="dxa"/>
          </w:tcPr>
          <w:p>
            <w:r>
              <w:rPr>
                <w:sz w:val="20"/>
              </w:rPr>
              <w:t xml:space="preserve">Exclude</w:t>
            </w:r>
          </w:p>
        </w:tc>
      </w:tr>
      <w:tr>
        <w:tc>
          <w:tcPr>
            <w:tcW w:w="2340" w:type="dxa"/>
          </w:tcPr>
          <w:p>
            <w:r>
              <w:rPr>
                <w:sz w:val="20"/>
              </w:rPr>
              <w:t xml:space="preserve">Non-conviction disposition</w:t>
            </w:r>
          </w:p>
        </w:tc>
        <w:tc>
          <w:tcPr>
            <w:tcW w:w="2340" w:type="dxa"/>
          </w:tcPr>
          <w:p>
            <w:r>
              <w:rPr>
                <w:sz w:val="20"/>
              </w:rPr>
              <w:t xml:space="preserve">Exclude</w:t>
            </w:r>
          </w:p>
        </w:tc>
        <w:tc>
          <w:tcPr>
            <w:tcW w:w="2340" w:type="dxa"/>
          </w:tcPr>
          <w:p>
            <w:r>
              <w:rPr>
                <w:sz w:val="20"/>
              </w:rPr>
              <w:t xml:space="preserve">Exclude</w:t>
            </w:r>
          </w:p>
        </w:tc>
        <w:tc>
          <w:tcPr>
            <w:tcW w:w="2340" w:type="dxa"/>
          </w:tcPr>
          <w:p>
            <w:r>
              <w:rPr>
                <w:sz w:val="20"/>
              </w:rPr>
              <w:t xml:space="preserve">Exclude</w:t>
            </w:r>
          </w:p>
        </w:tc>
      </w:tr>
      <w:tr>
        <w:tc>
          <w:tcPr>
            <w:tcW w:w="2340" w:type="dxa"/>
          </w:tcPr>
          <w:p>
            <w:r>
              <w:rPr>
                <w:sz w:val="20"/>
              </w:rPr>
              <w:t xml:space="preserve">Sealed, expunged or pardoned record</w:t>
            </w:r>
          </w:p>
        </w:tc>
        <w:tc>
          <w:tcPr>
            <w:tcW w:w="2340" w:type="dxa"/>
          </w:tcPr>
          <w:p>
            <w:r>
              <w:rPr>
                <w:sz w:val="20"/>
              </w:rPr>
              <w:t xml:space="preserve">Exclude</w:t>
            </w:r>
          </w:p>
        </w:tc>
        <w:tc>
          <w:tcPr>
            <w:tcW w:w="2340" w:type="dxa"/>
          </w:tcPr>
          <w:p>
            <w:r>
              <w:rPr>
                <w:sz w:val="20"/>
              </w:rPr>
              <w:t xml:space="preserve">Exclude</w:t>
            </w:r>
          </w:p>
        </w:tc>
        <w:tc>
          <w:tcPr>
            <w:tcW w:w="2340" w:type="dxa"/>
          </w:tcPr>
          <w:p>
            <w:r>
              <w:rPr>
                <w:sz w:val="20"/>
              </w:rPr>
              <w:t xml:space="preserve">Exclude</w:t>
            </w:r>
          </w:p>
        </w:tc>
      </w:tr>
    </w:tbl>
    <w:p>
      <w:r>
        <w:rPr>
          <w:sz w:val="2"/>
        </w:rPr>
        <w:t xml:space="preserve"/>
      </w:r>
    </w:p>
    <w:p>
      <w:pPr>
        <w:pBdr>
          <w:left w:val="single" w:sz="18" w:space="8" w:color="0F766E"/>
        </w:pBdr>
        <w:shd w:val="clear" w:color="auto" w:fill="F7F7F5"/>
        <w:spacing w:before="120" w:after="180"/>
        <w:ind w:left="240"/>
      </w:pPr>
      <w:r>
        <w:rPr>
          <w:i/>
        </w:rPr>
        <w:t xml:space="preserve">Most cells say assess, and that is not a drafting failure. Under a genuine individualized assessment almost everything that is not a non-conviction or a sealed record has to be reasoned about. The matrix earns its place by removing the records that must not be relied on at all, and by forcing the reviewer to name the role nexus rather than assume it.</w:t>
      </w:r>
    </w:p>
    <w:p>
      <w:pPr>
        <w:pStyle w:val="Heading1"/>
      </w:pPr>
      <w:r>
        <w:t xml:space="preserve">Step 5: escalation</w:t>
      </w:r>
    </w:p>
    <w:p>
      <w:pPr>
        <w:spacing w:after="60"/>
        <w:ind w:left="360" w:hanging="360"/>
      </w:pPr>
      <w:r>
        <w:t xml:space="preserve">•	Any record involving a pending charge for a violent offense goes to the program owner before a decision is communicated.</w:t>
      </w:r>
    </w:p>
    <w:p>
      <w:pPr>
        <w:spacing w:after="60"/>
        <w:ind w:left="360" w:hanging="360"/>
      </w:pPr>
      <w:r>
        <w:t xml:space="preserve">•	Any record where the applicant has supplied information that changes the factual basis goes back to the reviewer with the applicant's material attached.</w:t>
      </w:r>
    </w:p>
    <w:p>
      <w:pPr>
        <w:spacing w:after="60"/>
        <w:ind w:left="360" w:hanging="360"/>
      </w:pPr>
      <w:r>
        <w:t xml:space="preserve">•	Any record where the reviewer cannot state the role nexus in one sentence goes to assessment rather than to exclusion.</w:t>
      </w:r>
    </w:p>
    <w:p>
      <w:pPr>
        <w:spacing w:after="60"/>
        <w:ind w:left="360" w:hanging="360"/>
      </w:pPr>
      <w:r>
        <w:t xml:space="preserve">•	Any decision to depart from the matrix is recorded with the reason, and departures are reviewed quarterly.</w:t>
      </w:r>
    </w:p>
    <w:p>
      <w:pPr>
        <w:pStyle w:val="Heading1"/>
      </w:pPr>
      <w:r>
        <w:t xml:space="preserve">What this matrix does not do</w:t>
      </w:r>
    </w:p>
    <w:p>
      <w:pPr>
        <w:spacing w:after="60"/>
        <w:ind w:left="360" w:hanging="360"/>
      </w:pPr>
      <w:r>
        <w:t xml:space="preserve">•	It does not set a waiting period. The notice sequence and its timing are in the policy and in the applicable location law.</w:t>
      </w:r>
    </w:p>
    <w:p>
      <w:pPr>
        <w:spacing w:after="60"/>
        <w:ind w:left="360" w:hanging="360"/>
      </w:pPr>
      <w:r>
        <w:t xml:space="preserve">•	It does not authorize reliance on a record the location bars us from considering.</w:t>
      </w:r>
    </w:p>
    <w:p>
      <w:pPr>
        <w:spacing w:after="60"/>
        <w:ind w:left="360" w:hanging="360"/>
      </w:pPr>
      <w:r>
        <w:t xml:space="preserve">•	It does not authorize reliance on an arrest standing alone, in any band, anywhere.</w:t>
      </w:r>
    </w:p>
    <w:p>
      <w:pPr>
        <w:spacing w:after="60"/>
        <w:ind w:left="360" w:hanging="360"/>
      </w:pPr>
      <w:r>
        <w:t xml:space="preserve">•	It does not decide anything. Every cell that says assess is a question, and the worksheet is where it gets answered.</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before="0" w:after="80"/>
    </w:pPr>
    <w:rPr>
      <w:b/>
      <w:sz w:val="40"/>
      <w:szCs w:val="40"/>
      <w:color w:val="111827"/>
    </w:rPr>
  </w:style>
  <w:style w:type="paragraph" w:styleId="Heading1">
    <w:name w:val="heading 1"/>
    <w:basedOn w:val="Normal"/>
    <w:qFormat/>
    <w:pPr>
      <w:keepNext/>
      <w:spacing w:before="320" w:after="120"/>
      <w:outlineLvl w:val="0"/>
    </w:pPr>
    <w:rPr>
      <w:b/>
      <w:sz w:val="28"/>
      <w:szCs w:val="28"/>
      <w:color w:val="0F172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Adjudication matrix</dc:title>
  <dc:creator>Personnelgraph</dc:creator>
  <cp:lastModifiedBy>Personnelgraph</cp:lastModifiedBy>
</cp:coreProperties>
</file>